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9698" w14:textId="45042A9B" w:rsidR="003C56F8" w:rsidRPr="005110EA" w:rsidRDefault="00E144B1" w:rsidP="002F3E1D">
      <w:pPr>
        <w:spacing w:after="0"/>
        <w:jc w:val="center"/>
        <w:rPr>
          <w:b/>
          <w:bCs/>
          <w:sz w:val="36"/>
          <w:szCs w:val="36"/>
        </w:rPr>
      </w:pPr>
      <w:r w:rsidRPr="005110EA">
        <w:rPr>
          <w:b/>
          <w:bCs/>
          <w:sz w:val="36"/>
          <w:szCs w:val="36"/>
        </w:rPr>
        <w:t>Concept Note</w:t>
      </w:r>
    </w:p>
    <w:p w14:paraId="4985D85C" w14:textId="198425A3" w:rsidR="00302BEB" w:rsidRPr="009D7E8E" w:rsidRDefault="00302BEB" w:rsidP="002F3E1D">
      <w:pPr>
        <w:spacing w:after="0"/>
        <w:jc w:val="center"/>
        <w:rPr>
          <w:b/>
          <w:bCs/>
        </w:rPr>
      </w:pPr>
      <w:r w:rsidRPr="009D7E8E">
        <w:rPr>
          <w:b/>
          <w:bCs/>
        </w:rPr>
        <w:t>Mongolia’s preparation for the SDGs Summit</w:t>
      </w:r>
      <w:r w:rsidR="009D7E8E" w:rsidRPr="009D7E8E">
        <w:rPr>
          <w:b/>
          <w:bCs/>
        </w:rPr>
        <w:t>:</w:t>
      </w:r>
    </w:p>
    <w:p w14:paraId="2F13F25A" w14:textId="799C0E73" w:rsidR="009D7E8E" w:rsidRPr="009D7E8E" w:rsidRDefault="009D7E8E" w:rsidP="002F3E1D">
      <w:pPr>
        <w:spacing w:after="0"/>
        <w:jc w:val="center"/>
        <w:rPr>
          <w:b/>
          <w:bCs/>
        </w:rPr>
      </w:pPr>
      <w:r w:rsidRPr="009D7E8E">
        <w:rPr>
          <w:b/>
          <w:bCs/>
        </w:rPr>
        <w:t>National Forum</w:t>
      </w:r>
      <w:r w:rsidR="003535CB">
        <w:rPr>
          <w:b/>
          <w:bCs/>
        </w:rPr>
        <w:t xml:space="preserve"> for Sustainable Development</w:t>
      </w:r>
    </w:p>
    <w:p w14:paraId="2CCC44CB" w14:textId="3377E475" w:rsidR="009D7E8E" w:rsidRDefault="009D7E8E">
      <w:r>
        <w:t xml:space="preserve"> </w:t>
      </w:r>
    </w:p>
    <w:p w14:paraId="222E1F36" w14:textId="1DE03CE7" w:rsidR="00EE2C8A" w:rsidRPr="00C84D34" w:rsidRDefault="00901AEC">
      <w:pPr>
        <w:rPr>
          <w:b/>
          <w:bCs/>
          <w:i/>
          <w:iCs/>
          <w:color w:val="4472C4" w:themeColor="accent1"/>
        </w:rPr>
      </w:pPr>
      <w:r w:rsidRPr="00C84D34">
        <w:rPr>
          <w:b/>
          <w:bCs/>
          <w:i/>
          <w:iCs/>
          <w:color w:val="4472C4" w:themeColor="accent1"/>
        </w:rPr>
        <w:t>Background</w:t>
      </w:r>
    </w:p>
    <w:p w14:paraId="0E3AE4FA" w14:textId="0A40CB2F" w:rsidR="00EE2C8A" w:rsidRDefault="00EE2C8A" w:rsidP="002433F6">
      <w:pPr>
        <w:jc w:val="both"/>
      </w:pPr>
      <w:r>
        <w:t>At the mid-way point of the 2030 Agenda for Sustainable Development, it is time to face the facts. Without a surge in commitment, solidarity, and transformative action, we will miss the headline targets of the 2030 Agenda to end poverty, reduce inequality and protect the environment. The Sustainable Development Goals (SDG) Summit to be held in September 2023 provides a unique opportunity to fundamentally change course.</w:t>
      </w:r>
    </w:p>
    <w:p w14:paraId="7BD06B15" w14:textId="77777777" w:rsidR="00EE2C8A" w:rsidRDefault="00EE2C8A" w:rsidP="002433F6">
      <w:pPr>
        <w:jc w:val="both"/>
      </w:pPr>
      <w:r>
        <w:t xml:space="preserve">The multiple crises of the last three years have dealt a major blow to SDGs implementation efforts. Millions have been pushed into poverty. Inequalities have risen considerably. The rights of women and girls have been under siege. And the urgent and existential business of averting climate catastrophe has been undermined. </w:t>
      </w:r>
    </w:p>
    <w:p w14:paraId="4008B2AE" w14:textId="77777777" w:rsidR="00EE2C8A" w:rsidRDefault="00EE2C8A" w:rsidP="002433F6">
      <w:pPr>
        <w:jc w:val="both"/>
      </w:pPr>
      <w:r>
        <w:t xml:space="preserve">Even before these crises hit, we were not on track to meet the goals by 2030. Many critical policy changes, innovations, </w:t>
      </w:r>
      <w:proofErr w:type="gramStart"/>
      <w:r>
        <w:t>transitions</w:t>
      </w:r>
      <w:proofErr w:type="gramEnd"/>
      <w:r>
        <w:t xml:space="preserve"> and investments have not advanced at the speed or scale required. And on every front – COVID-19, Climate Action, SDG financing – the international community has not done enough to give the most vulnerable countries a fair chance. Yet, the transformation envisioned by the 2030 Agenda remains both possible and essential. </w:t>
      </w:r>
    </w:p>
    <w:p w14:paraId="3C826338" w14:textId="77777777" w:rsidR="00EE2C8A" w:rsidRDefault="00EE2C8A" w:rsidP="002433F6">
      <w:pPr>
        <w:jc w:val="both"/>
      </w:pPr>
      <w:r>
        <w:t xml:space="preserve">Throughout history, humanity has demonstrated its capacity to overcome the most severe challenges. We can also draw confidence from the fact that we have never had access to so much knowledge, </w:t>
      </w:r>
      <w:proofErr w:type="gramStart"/>
      <w:r>
        <w:t>technologies</w:t>
      </w:r>
      <w:proofErr w:type="gramEnd"/>
      <w:r>
        <w:t xml:space="preserve"> and resources. </w:t>
      </w:r>
    </w:p>
    <w:p w14:paraId="3A037C15" w14:textId="046B2A1F" w:rsidR="00EE2C8A" w:rsidRDefault="00EE2C8A" w:rsidP="002433F6">
      <w:pPr>
        <w:jc w:val="both"/>
      </w:pPr>
      <w:r>
        <w:t xml:space="preserve">What is needed now is a surge in commitment from governments and stakeholders to take implementation to the next level. Under the leadership of the President of the General Assembly, the SDG Summit provides the platform we need to secure this commitment. The UN Secretary General (UNSG), therefore, </w:t>
      </w:r>
      <w:proofErr w:type="gramStart"/>
      <w:r>
        <w:t>urge</w:t>
      </w:r>
      <w:proofErr w:type="gramEnd"/>
      <w:r>
        <w:t xml:space="preserve"> all countries to come together around a Rescue Plan for People and Planet, based on deliverables by September on three key fronts.</w:t>
      </w:r>
    </w:p>
    <w:p w14:paraId="69C02D0C" w14:textId="1D15006D" w:rsidR="002F3E1D" w:rsidRDefault="002F3E1D" w:rsidP="002433F6">
      <w:pPr>
        <w:jc w:val="both"/>
      </w:pPr>
      <w:r>
        <w:rPr>
          <w:noProof/>
        </w:rPr>
        <w:lastRenderedPageBreak/>
        <w:drawing>
          <wp:inline distT="0" distB="0" distL="0" distR="0" wp14:anchorId="49BE28EB" wp14:editId="3F05E808">
            <wp:extent cx="5943600" cy="2543175"/>
            <wp:effectExtent l="0" t="0" r="0" b="9525"/>
            <wp:docPr id="191017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75248" name="Picture 19101752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543175"/>
                    </a:xfrm>
                    <a:prstGeom prst="rect">
                      <a:avLst/>
                    </a:prstGeom>
                  </pic:spPr>
                </pic:pic>
              </a:graphicData>
            </a:graphic>
          </wp:inline>
        </w:drawing>
      </w:r>
    </w:p>
    <w:p w14:paraId="640FE17C" w14:textId="09420132" w:rsidR="00EE2C8A" w:rsidRDefault="00EE2C8A" w:rsidP="002433F6">
      <w:pPr>
        <w:jc w:val="both"/>
      </w:pPr>
      <w:r w:rsidRPr="00EE2C8A">
        <w:rPr>
          <w:i/>
          <w:iCs/>
          <w:u w:val="single"/>
        </w:rPr>
        <w:t>First</w:t>
      </w:r>
      <w:r>
        <w:t>, decisive action must be taken to better support developing countries. It is essential that the Political Declaration of the Summit signal an unambiguous commitment from the international community to reform the international financial architecture and ensure an enabling environment for developing countries to actively participate in and benefit from the global economy and harness the full potential of green and digital technologies.</w:t>
      </w:r>
    </w:p>
    <w:p w14:paraId="30BB2AF5" w14:textId="0EFE4DB2" w:rsidR="00EE2C8A" w:rsidRDefault="00EE2C8A" w:rsidP="002433F6">
      <w:pPr>
        <w:jc w:val="both"/>
      </w:pPr>
      <w:r w:rsidRPr="00EE2C8A">
        <w:rPr>
          <w:i/>
          <w:iCs/>
          <w:u w:val="single"/>
        </w:rPr>
        <w:t>Second</w:t>
      </w:r>
      <w:r>
        <w:t>, at the Summit, the UNSG urge world leaders to convey a National Commitment to SDG Transformation. This could include clear benchmarks to reduce domestic poverty and inequality levels by 2027 and 2030, in tandem with nationally determined climate contributions. Policy commitments to drive the energy, food, digital and social transitions that will make those benchmarks possible could also be outlined. Foundational actions to align national budgets with the SDGs, mainstream gender equality and empowerment of women and girls into national development planning processes, rejuvenate public sector capacities and institutions, and strengthen national data and monitoring systems could also be addressed.</w:t>
      </w:r>
    </w:p>
    <w:p w14:paraId="723D46E0" w14:textId="3675BE83" w:rsidR="00EE2C8A" w:rsidRDefault="00EE2C8A" w:rsidP="002433F6">
      <w:pPr>
        <w:jc w:val="both"/>
      </w:pPr>
      <w:r w:rsidRPr="00EE2C8A">
        <w:rPr>
          <w:i/>
          <w:iCs/>
          <w:u w:val="single"/>
        </w:rPr>
        <w:t>Third</w:t>
      </w:r>
      <w:r>
        <w:t xml:space="preserve">, delivery of the 2030 Agenda requires the strengthening of public trust and the full participation of a wide range of stakeholders. The UNSG urge all countries to fully engage their domestic constituencies, particularly civil </w:t>
      </w:r>
      <w:proofErr w:type="gramStart"/>
      <w:r>
        <w:t>society</w:t>
      </w:r>
      <w:proofErr w:type="gramEnd"/>
      <w:r>
        <w:t xml:space="preserve"> and the private sector, in their Summit preparations. The United Nations system will complement national efforts by mobilizing support from all partners around </w:t>
      </w:r>
      <w:proofErr w:type="gramStart"/>
      <w:r>
        <w:t>select</w:t>
      </w:r>
      <w:proofErr w:type="gramEnd"/>
      <w:r>
        <w:t xml:space="preserve"> high-impact initiatives and advancing a more robust embrace of the Goals by businesses, local </w:t>
      </w:r>
      <w:proofErr w:type="gramStart"/>
      <w:r>
        <w:t>authorities</w:t>
      </w:r>
      <w:proofErr w:type="gramEnd"/>
      <w:r>
        <w:t xml:space="preserve"> and other actors.</w:t>
      </w:r>
    </w:p>
    <w:p w14:paraId="382F3E4B" w14:textId="779EAF43" w:rsidR="00EE2C8A" w:rsidRDefault="003017C1" w:rsidP="002433F6">
      <w:pPr>
        <w:jc w:val="both"/>
      </w:pPr>
      <w:r>
        <w:t xml:space="preserve">The SDG Summit will be the </w:t>
      </w:r>
      <w:proofErr w:type="spellStart"/>
      <w:r>
        <w:t>centrepiece</w:t>
      </w:r>
      <w:proofErr w:type="spellEnd"/>
      <w:r>
        <w:t xml:space="preserve"> of a suite of events that include a Climate Ambition Summit, a Financing for Development High-level Dialogue, a series of health-related meetings and a Ministerial level meeting in preparation for the 2024 Summit of the Future. The SDG Summit can become a moment for our world to pivot from fear to hope and from deepening pessimism to accelerated action.</w:t>
      </w:r>
    </w:p>
    <w:p w14:paraId="46967E66" w14:textId="61BF0B9E" w:rsidR="00901AEC" w:rsidRPr="00C84D34" w:rsidRDefault="00901AEC" w:rsidP="002433F6">
      <w:pPr>
        <w:jc w:val="both"/>
        <w:rPr>
          <w:b/>
          <w:bCs/>
          <w:i/>
          <w:iCs/>
          <w:color w:val="4472C4" w:themeColor="accent1"/>
        </w:rPr>
      </w:pPr>
      <w:r w:rsidRPr="00C84D34">
        <w:rPr>
          <w:b/>
          <w:bCs/>
          <w:i/>
          <w:iCs/>
          <w:color w:val="4472C4" w:themeColor="accent1"/>
        </w:rPr>
        <w:t>Mongolia’s preparation</w:t>
      </w:r>
    </w:p>
    <w:p w14:paraId="1622F507" w14:textId="2FCD792C" w:rsidR="005A7142" w:rsidRDefault="00CD2C9C" w:rsidP="002433F6">
      <w:pPr>
        <w:jc w:val="both"/>
      </w:pPr>
      <w:r>
        <w:t xml:space="preserve">In order Mongolia to prepare for its participation to the SDGs Summit </w:t>
      </w:r>
      <w:r w:rsidR="00B842BA">
        <w:t xml:space="preserve">delivering Mongolia’s National Commitment for SDGs Accelerations </w:t>
      </w:r>
      <w:r w:rsidR="00976830">
        <w:t xml:space="preserve">for advancing the SDGs by 2030, </w:t>
      </w:r>
      <w:r w:rsidR="005A7142">
        <w:t xml:space="preserve">the Government of Mongolia </w:t>
      </w:r>
      <w:r w:rsidR="00666AF5">
        <w:t xml:space="preserve">led by Ministry of Economy and Development (MED) </w:t>
      </w:r>
      <w:r w:rsidR="00EB1E36">
        <w:t>identified the national SDGs Accelerators</w:t>
      </w:r>
      <w:r w:rsidR="00AC3B3E">
        <w:t xml:space="preserve"> and drafted the Mongolia’s National Commitment </w:t>
      </w:r>
      <w:r w:rsidR="001C2C66">
        <w:t>to be presented at the SDGs Summit</w:t>
      </w:r>
      <w:r w:rsidR="003A4A0A">
        <w:t xml:space="preserve">. </w:t>
      </w:r>
    </w:p>
    <w:p w14:paraId="527B230D" w14:textId="5D510931" w:rsidR="003A4A0A" w:rsidRDefault="003A4A0A" w:rsidP="002433F6">
      <w:pPr>
        <w:jc w:val="both"/>
      </w:pPr>
      <w:r>
        <w:lastRenderedPageBreak/>
        <w:t xml:space="preserve">The draft </w:t>
      </w:r>
      <w:r w:rsidR="00F05D1D">
        <w:t>N</w:t>
      </w:r>
      <w:r>
        <w:t>ational Commitment including the Mongolia’s SDGs Accelerators are</w:t>
      </w:r>
      <w:r w:rsidR="003A7AE6">
        <w:t xml:space="preserve"> being consulted with various stakeholders </w:t>
      </w:r>
      <w:r w:rsidR="00BA22AC">
        <w:t xml:space="preserve">with support of UN Mongolia </w:t>
      </w:r>
      <w:r w:rsidR="003A7AE6">
        <w:t>to hears their voices</w:t>
      </w:r>
      <w:r w:rsidR="00E96CDC">
        <w:t xml:space="preserve">. MED will be reflecting feedback from the </w:t>
      </w:r>
      <w:r w:rsidR="00BF39A2">
        <w:t>stakeholders for finalizing the National Commitment</w:t>
      </w:r>
      <w:r w:rsidR="004475B9">
        <w:t xml:space="preserve"> to be presented at the SDGs Summit</w:t>
      </w:r>
      <w:r w:rsidR="00A53904">
        <w:t>.</w:t>
      </w:r>
    </w:p>
    <w:p w14:paraId="0BC3DC88" w14:textId="0D188A6F" w:rsidR="00A53904" w:rsidRPr="006F79FE" w:rsidRDefault="00554D58" w:rsidP="002433F6">
      <w:pPr>
        <w:jc w:val="both"/>
        <w:rPr>
          <w:i/>
          <w:iCs/>
          <w:color w:val="4472C4" w:themeColor="accent1"/>
        </w:rPr>
      </w:pPr>
      <w:r w:rsidRPr="006F79FE">
        <w:rPr>
          <w:i/>
          <w:iCs/>
          <w:color w:val="4472C4" w:themeColor="accent1"/>
        </w:rPr>
        <w:t xml:space="preserve">Stakeholder </w:t>
      </w:r>
      <w:r w:rsidR="004C24A1" w:rsidRPr="006F79FE">
        <w:rPr>
          <w:i/>
          <w:iCs/>
          <w:color w:val="4472C4" w:themeColor="accent1"/>
        </w:rPr>
        <w:t>Dialogues</w:t>
      </w:r>
    </w:p>
    <w:p w14:paraId="02BE18A8" w14:textId="77244152" w:rsidR="005E5EA9" w:rsidRDefault="002D6A5C" w:rsidP="002433F6">
      <w:pPr>
        <w:jc w:val="both"/>
      </w:pPr>
      <w:r>
        <w:t xml:space="preserve">UN Agencies are supporting the Government of Mongolia/MED for </w:t>
      </w:r>
      <w:r w:rsidR="004C24A1">
        <w:t xml:space="preserve">organizing the stakeholder </w:t>
      </w:r>
      <w:r w:rsidR="005C1F95">
        <w:t>d</w:t>
      </w:r>
      <w:r w:rsidR="004C24A1">
        <w:t xml:space="preserve">ialogues </w:t>
      </w:r>
      <w:r w:rsidR="005C1F95">
        <w:t xml:space="preserve">allowing MED to present and consult the proposed draft National Commitments including the </w:t>
      </w:r>
      <w:r w:rsidR="007D7EAF">
        <w:t xml:space="preserve">SDGs Accelerators of Mongolia </w:t>
      </w:r>
      <w:r w:rsidR="00586113">
        <w:t>with</w:t>
      </w:r>
      <w:r w:rsidR="007D7EAF">
        <w:t xml:space="preserve"> the different stakeholders. Following specific dialogues were held </w:t>
      </w:r>
      <w:r w:rsidR="005E5EA9">
        <w:t>during 17-22 August 2023:</w:t>
      </w:r>
    </w:p>
    <w:p w14:paraId="48AC4788" w14:textId="339C589C" w:rsidR="00554D58" w:rsidRDefault="00A11E9D" w:rsidP="005E5EA9">
      <w:pPr>
        <w:pStyle w:val="ListParagraph"/>
        <w:numPr>
          <w:ilvl w:val="0"/>
          <w:numId w:val="5"/>
        </w:numPr>
        <w:jc w:val="both"/>
      </w:pPr>
      <w:r>
        <w:t xml:space="preserve">Dialogue with Private Sector representatives </w:t>
      </w:r>
      <w:r w:rsidR="00321030">
        <w:t>- supported</w:t>
      </w:r>
      <w:r w:rsidR="00887168">
        <w:t xml:space="preserve"> by UNDP, UNICEF</w:t>
      </w:r>
      <w:r w:rsidR="00321030">
        <w:t xml:space="preserve"> on 17 August’23</w:t>
      </w:r>
    </w:p>
    <w:p w14:paraId="7755A8CB" w14:textId="089E940D" w:rsidR="00321030" w:rsidRDefault="00321030" w:rsidP="005E5EA9">
      <w:pPr>
        <w:pStyle w:val="ListParagraph"/>
        <w:numPr>
          <w:ilvl w:val="0"/>
          <w:numId w:val="5"/>
        </w:numPr>
        <w:jc w:val="both"/>
      </w:pPr>
      <w:r>
        <w:t>Dialogue</w:t>
      </w:r>
      <w:r w:rsidR="0094693F">
        <w:t xml:space="preserve"> with Youth – supported by UNFPA, UNICEF ILO, on 17 August’23</w:t>
      </w:r>
    </w:p>
    <w:p w14:paraId="62E494C3" w14:textId="332705B3" w:rsidR="0094693F" w:rsidRDefault="00950EF4" w:rsidP="005E5EA9">
      <w:pPr>
        <w:pStyle w:val="ListParagraph"/>
        <w:numPr>
          <w:ilvl w:val="0"/>
          <w:numId w:val="5"/>
        </w:numPr>
        <w:jc w:val="both"/>
      </w:pPr>
      <w:r>
        <w:t>Dialogue with Development Partners – supported by Resident Coordinators Office</w:t>
      </w:r>
      <w:r w:rsidR="007A76D4">
        <w:t>, on 21 August’23</w:t>
      </w:r>
    </w:p>
    <w:p w14:paraId="0DBE92FB" w14:textId="605D1F65" w:rsidR="007A76D4" w:rsidRDefault="007A76D4" w:rsidP="005E5EA9">
      <w:pPr>
        <w:pStyle w:val="ListParagraph"/>
        <w:numPr>
          <w:ilvl w:val="0"/>
          <w:numId w:val="5"/>
        </w:numPr>
        <w:jc w:val="both"/>
      </w:pPr>
      <w:r>
        <w:t xml:space="preserve">Dialogue with </w:t>
      </w:r>
      <w:r w:rsidR="00FC5743">
        <w:t>Academia – supported by UNICEF</w:t>
      </w:r>
      <w:r w:rsidR="00097A3B">
        <w:t>,</w:t>
      </w:r>
      <w:r w:rsidR="000D5066">
        <w:t xml:space="preserve"> </w:t>
      </w:r>
      <w:r w:rsidR="00B13404">
        <w:t>UNDP</w:t>
      </w:r>
      <w:r w:rsidR="001E34B9">
        <w:t xml:space="preserve">, UNESCO </w:t>
      </w:r>
      <w:r w:rsidR="00097A3B">
        <w:t>on 2</w:t>
      </w:r>
      <w:r w:rsidR="00DA2097">
        <w:t>2</w:t>
      </w:r>
      <w:r w:rsidR="00097A3B">
        <w:t xml:space="preserve"> August’23</w:t>
      </w:r>
    </w:p>
    <w:p w14:paraId="45FD490E" w14:textId="677E7D00" w:rsidR="00DA2097" w:rsidRDefault="00097A3B" w:rsidP="005E5EA9">
      <w:pPr>
        <w:pStyle w:val="ListParagraph"/>
        <w:numPr>
          <w:ilvl w:val="0"/>
          <w:numId w:val="5"/>
        </w:numPr>
        <w:jc w:val="both"/>
      </w:pPr>
      <w:r>
        <w:t>Dialogue with CSOs</w:t>
      </w:r>
      <w:r w:rsidR="00DA2097">
        <w:t xml:space="preserve"> - supported by UNDP,</w:t>
      </w:r>
      <w:r w:rsidR="000D5066">
        <w:t xml:space="preserve"> UNICEF</w:t>
      </w:r>
      <w:r w:rsidR="00DA2097">
        <w:t xml:space="preserve"> on 22 August’23</w:t>
      </w:r>
    </w:p>
    <w:p w14:paraId="67409EE1" w14:textId="0D57EF75" w:rsidR="00097A3B" w:rsidRDefault="00DA2097" w:rsidP="005E5EA9">
      <w:pPr>
        <w:pStyle w:val="ListParagraph"/>
        <w:numPr>
          <w:ilvl w:val="0"/>
          <w:numId w:val="5"/>
        </w:numPr>
        <w:jc w:val="both"/>
      </w:pPr>
      <w:r>
        <w:t xml:space="preserve">Dialogue with Local </w:t>
      </w:r>
      <w:r w:rsidR="00BA5DF1">
        <w:t>(provinces) representatives – supported by IOM</w:t>
      </w:r>
      <w:r w:rsidR="00586113">
        <w:t>, on 22 August’23</w:t>
      </w:r>
      <w:r>
        <w:t xml:space="preserve"> </w:t>
      </w:r>
    </w:p>
    <w:p w14:paraId="75A045D2" w14:textId="0CB1B15F" w:rsidR="005A7142" w:rsidRPr="006F79FE" w:rsidRDefault="00FB7F87" w:rsidP="002433F6">
      <w:pPr>
        <w:jc w:val="both"/>
        <w:rPr>
          <w:i/>
          <w:iCs/>
          <w:color w:val="4472C4" w:themeColor="accent1"/>
        </w:rPr>
      </w:pPr>
      <w:r w:rsidRPr="006F79FE">
        <w:rPr>
          <w:i/>
          <w:iCs/>
          <w:color w:val="4472C4" w:themeColor="accent1"/>
        </w:rPr>
        <w:t xml:space="preserve">National Forum </w:t>
      </w:r>
      <w:r w:rsidR="00747DAB">
        <w:rPr>
          <w:i/>
          <w:iCs/>
          <w:color w:val="4472C4" w:themeColor="accent1"/>
        </w:rPr>
        <w:t>for</w:t>
      </w:r>
      <w:r w:rsidRPr="006F79FE">
        <w:rPr>
          <w:i/>
          <w:iCs/>
          <w:color w:val="4472C4" w:themeColor="accent1"/>
        </w:rPr>
        <w:t xml:space="preserve"> Sustainable Development</w:t>
      </w:r>
    </w:p>
    <w:p w14:paraId="2006708E" w14:textId="72C5860E" w:rsidR="0018007B" w:rsidRDefault="00621811" w:rsidP="002433F6">
      <w:pPr>
        <w:jc w:val="both"/>
      </w:pPr>
      <w:r>
        <w:t xml:space="preserve">National Forum for Sustainable Development </w:t>
      </w:r>
      <w:r w:rsidR="007D2BD7">
        <w:t xml:space="preserve">involving high-level decision makers, </w:t>
      </w:r>
      <w:r w:rsidR="00250647">
        <w:t xml:space="preserve">practitioners, representatives from different stakeholders </w:t>
      </w:r>
      <w:r w:rsidR="00283225">
        <w:t>are</w:t>
      </w:r>
      <w:r w:rsidR="00250647">
        <w:t xml:space="preserve"> planned to be </w:t>
      </w:r>
      <w:r w:rsidR="004E566F">
        <w:t xml:space="preserve">jointly </w:t>
      </w:r>
      <w:r w:rsidR="00D05DCD">
        <w:t>organized by Minist</w:t>
      </w:r>
      <w:r w:rsidR="004E566F">
        <w:t>r</w:t>
      </w:r>
      <w:r w:rsidR="00D05DCD">
        <w:t>y of Economy and Development</w:t>
      </w:r>
      <w:r w:rsidR="00F36C5A">
        <w:t xml:space="preserve"> of Mongolia and the UN Resident Coordinator’s Office in Mongolia</w:t>
      </w:r>
      <w:r w:rsidR="004C1D87">
        <w:t xml:space="preserve"> on 7 September 2023</w:t>
      </w:r>
      <w:r w:rsidR="00125122">
        <w:t xml:space="preserve">. </w:t>
      </w:r>
      <w:r w:rsidR="00487F44">
        <w:t xml:space="preserve">Number of </w:t>
      </w:r>
      <w:r w:rsidR="0064154B">
        <w:t xml:space="preserve">national companies who are contributing Mongolia’s efforts for sustainable development </w:t>
      </w:r>
      <w:r w:rsidR="00003411">
        <w:t xml:space="preserve">are </w:t>
      </w:r>
      <w:r w:rsidR="00283225">
        <w:t>supporting</w:t>
      </w:r>
      <w:r w:rsidR="00003411">
        <w:t xml:space="preserve"> the forum event and showcasing their excellent initiatives for sustainable development during the event.</w:t>
      </w:r>
    </w:p>
    <w:p w14:paraId="44643E1D" w14:textId="75A18E8E" w:rsidR="00495E7F" w:rsidRDefault="0054349F" w:rsidP="002433F6">
      <w:pPr>
        <w:jc w:val="both"/>
      </w:pPr>
      <w:r>
        <w:t>Selected representative</w:t>
      </w:r>
      <w:r w:rsidR="000872ED">
        <w:t>s</w:t>
      </w:r>
      <w:r>
        <w:t xml:space="preserve">/rapporteurs </w:t>
      </w:r>
      <w:r w:rsidR="000872ED">
        <w:t xml:space="preserve">from </w:t>
      </w:r>
      <w:proofErr w:type="gramStart"/>
      <w:r w:rsidR="000872ED">
        <w:t>stakeholders</w:t>
      </w:r>
      <w:proofErr w:type="gramEnd"/>
      <w:r w:rsidR="000872ED">
        <w:t xml:space="preserve"> </w:t>
      </w:r>
      <w:r w:rsidR="00646C06">
        <w:t xml:space="preserve">consultations </w:t>
      </w:r>
      <w:r w:rsidR="000872ED">
        <w:t xml:space="preserve">(one from each) will be </w:t>
      </w:r>
      <w:r w:rsidR="00A40812">
        <w:t xml:space="preserve">invited </w:t>
      </w:r>
      <w:r w:rsidR="003B6212">
        <w:t>to</w:t>
      </w:r>
      <w:r w:rsidR="00A40812">
        <w:t xml:space="preserve"> the panel discussion at the Forum for </w:t>
      </w:r>
      <w:r w:rsidR="003B6212">
        <w:t>bringing</w:t>
      </w:r>
      <w:r w:rsidR="00A40812">
        <w:t xml:space="preserve"> voices from </w:t>
      </w:r>
      <w:r w:rsidR="001C2D07">
        <w:t>stakeholder dialogues.</w:t>
      </w:r>
    </w:p>
    <w:p w14:paraId="1AEAE159" w14:textId="5CDAEB1C" w:rsidR="006F79FE" w:rsidRDefault="00510386" w:rsidP="002433F6">
      <w:pPr>
        <w:jc w:val="both"/>
      </w:pPr>
      <w:r>
        <w:t>The Government of Mongolia</w:t>
      </w:r>
      <w:r w:rsidR="00DD3622">
        <w:t xml:space="preserve">/MED </w:t>
      </w:r>
      <w:r w:rsidR="009264FA">
        <w:t xml:space="preserve">will present and </w:t>
      </w:r>
      <w:r w:rsidR="000813B8">
        <w:t>aim to have a national consensus on the proposed/revised National Commitments at the Forum</w:t>
      </w:r>
      <w:r w:rsidR="001C2D07">
        <w:t xml:space="preserve"> in the end</w:t>
      </w:r>
      <w:r w:rsidR="00B264C8">
        <w:t xml:space="preserve">. </w:t>
      </w:r>
    </w:p>
    <w:p w14:paraId="5625AFB7" w14:textId="379B5899" w:rsidR="001C2D07" w:rsidRPr="00D04148" w:rsidRDefault="00E07223" w:rsidP="002433F6">
      <w:pPr>
        <w:jc w:val="both"/>
        <w:rPr>
          <w:i/>
          <w:iCs/>
          <w:color w:val="4472C4" w:themeColor="accent1"/>
        </w:rPr>
      </w:pPr>
      <w:r w:rsidRPr="00D04148">
        <w:rPr>
          <w:i/>
          <w:iCs/>
          <w:color w:val="4472C4" w:themeColor="accent1"/>
        </w:rPr>
        <w:t xml:space="preserve">SDGs Action </w:t>
      </w:r>
      <w:r w:rsidR="00D04148" w:rsidRPr="00D04148">
        <w:rPr>
          <w:i/>
          <w:iCs/>
          <w:color w:val="4472C4" w:themeColor="accent1"/>
        </w:rPr>
        <w:t>Campaign</w:t>
      </w:r>
    </w:p>
    <w:p w14:paraId="51B1ED07" w14:textId="444A7CC4" w:rsidR="006647AC" w:rsidRPr="004D2773" w:rsidRDefault="006647AC" w:rsidP="006647AC">
      <w:pPr>
        <w:pStyle w:val="BodyText"/>
        <w:spacing w:line="264" w:lineRule="auto"/>
        <w:ind w:right="119"/>
        <w:jc w:val="both"/>
        <w:rPr>
          <w:rFonts w:ascii="Calibri" w:hAnsi="Calibri" w:cs="Calibri"/>
          <w:sz w:val="22"/>
          <w:szCs w:val="22"/>
          <w:u w:color="595959"/>
        </w:rPr>
      </w:pPr>
      <w:r>
        <w:rPr>
          <w:rFonts w:ascii="Calibri" w:hAnsi="Calibri" w:cs="Calibri"/>
          <w:sz w:val="22"/>
          <w:szCs w:val="22"/>
          <w:u w:color="595959"/>
        </w:rPr>
        <w:t>The UN calls for global actions to accelerate achieving SDGs. In the lead up to the SDG Summit, the UN organizes a Global Week to #Act4SDGs. To support this global campaign and amplify the message of the urgency to act for SDGs in Mongolia and to mobilize more collective and individual action</w:t>
      </w:r>
      <w:r w:rsidR="00DE7BBB">
        <w:rPr>
          <w:rFonts w:ascii="Calibri" w:hAnsi="Calibri" w:cs="Calibri"/>
          <w:sz w:val="22"/>
          <w:szCs w:val="22"/>
          <w:u w:color="595959"/>
        </w:rPr>
        <w:t>s</w:t>
      </w:r>
      <w:r>
        <w:rPr>
          <w:rFonts w:ascii="Calibri" w:hAnsi="Calibri" w:cs="Calibri"/>
          <w:sz w:val="22"/>
          <w:szCs w:val="22"/>
          <w:u w:color="595959"/>
        </w:rPr>
        <w:t xml:space="preserve"> for SDGs,</w:t>
      </w:r>
      <w:r w:rsidR="00DE7BBB">
        <w:rPr>
          <w:rFonts w:ascii="Calibri" w:hAnsi="Calibri" w:cs="Calibri"/>
          <w:sz w:val="22"/>
          <w:szCs w:val="22"/>
          <w:u w:color="595959"/>
        </w:rPr>
        <w:t xml:space="preserve"> </w:t>
      </w:r>
      <w:r>
        <w:rPr>
          <w:rFonts w:ascii="Calibri" w:hAnsi="Calibri" w:cs="Calibri"/>
          <w:sz w:val="22"/>
          <w:szCs w:val="22"/>
          <w:u w:color="595959"/>
        </w:rPr>
        <w:t>the UN in Mongolia spearheads a</w:t>
      </w:r>
      <w:r w:rsidRPr="004D2773">
        <w:rPr>
          <w:rFonts w:ascii="Calibri" w:hAnsi="Calibri" w:cs="Calibri"/>
          <w:sz w:val="22"/>
          <w:szCs w:val="22"/>
          <w:u w:color="595959"/>
        </w:rPr>
        <w:t xml:space="preserve"> “SDC Action Campaign”</w:t>
      </w:r>
      <w:r>
        <w:rPr>
          <w:rFonts w:ascii="Calibri" w:hAnsi="Calibri" w:cs="Calibri"/>
          <w:sz w:val="22"/>
          <w:szCs w:val="22"/>
          <w:u w:color="595959"/>
        </w:rPr>
        <w:t xml:space="preserve"> in Mongolia. Through this campaign, </w:t>
      </w:r>
      <w:r w:rsidRPr="004D2773">
        <w:rPr>
          <w:rFonts w:ascii="Calibri" w:hAnsi="Calibri" w:cs="Calibri"/>
          <w:sz w:val="22"/>
          <w:szCs w:val="22"/>
          <w:u w:color="595959"/>
        </w:rPr>
        <w:t xml:space="preserve">the UN Mongolia, together with its key partners, proposes to engage with the Mongolian communities, especially the private sector, and public in Ulaanbaatar city, in a range of activities and events geared towards advocating and promoting SDGs while acknowledging good deeds and achievements towards SDGs and to inspire sustainable </w:t>
      </w:r>
      <w:r>
        <w:rPr>
          <w:rFonts w:ascii="Calibri" w:hAnsi="Calibri" w:cs="Calibri"/>
          <w:sz w:val="22"/>
          <w:szCs w:val="22"/>
          <w:u w:color="595959"/>
        </w:rPr>
        <w:t>behaviors</w:t>
      </w:r>
      <w:r w:rsidRPr="004D2773">
        <w:rPr>
          <w:rFonts w:ascii="Calibri" w:hAnsi="Calibri" w:cs="Calibri"/>
          <w:sz w:val="22"/>
          <w:szCs w:val="22"/>
          <w:u w:color="595959"/>
        </w:rPr>
        <w:t xml:space="preserve"> and lifestyle and mobilize more commitment from businesses, communities and </w:t>
      </w:r>
      <w:r>
        <w:rPr>
          <w:rFonts w:ascii="Calibri" w:hAnsi="Calibri" w:cs="Calibri"/>
          <w:sz w:val="22"/>
          <w:szCs w:val="22"/>
          <w:u w:color="595959"/>
        </w:rPr>
        <w:t xml:space="preserve">the </w:t>
      </w:r>
      <w:r w:rsidRPr="004D2773">
        <w:rPr>
          <w:rFonts w:ascii="Calibri" w:hAnsi="Calibri" w:cs="Calibri"/>
          <w:sz w:val="22"/>
          <w:szCs w:val="22"/>
          <w:u w:color="595959"/>
        </w:rPr>
        <w:t xml:space="preserve">wider public to </w:t>
      </w:r>
      <w:r>
        <w:rPr>
          <w:rFonts w:ascii="Calibri" w:hAnsi="Calibri" w:cs="Calibri"/>
          <w:sz w:val="22"/>
          <w:szCs w:val="22"/>
          <w:u w:color="595959"/>
        </w:rPr>
        <w:t xml:space="preserve">the </w:t>
      </w:r>
      <w:r w:rsidRPr="004D2773">
        <w:rPr>
          <w:rFonts w:ascii="Calibri" w:hAnsi="Calibri" w:cs="Calibri"/>
          <w:sz w:val="22"/>
          <w:szCs w:val="22"/>
          <w:u w:color="595959"/>
        </w:rPr>
        <w:t xml:space="preserve">promotion of SDGs in Mongolia. </w:t>
      </w:r>
    </w:p>
    <w:p w14:paraId="31DEFA83" w14:textId="77777777" w:rsidR="006647AC" w:rsidRPr="004D2773" w:rsidRDefault="006647AC" w:rsidP="006647AC">
      <w:pPr>
        <w:pStyle w:val="BodyText"/>
        <w:spacing w:line="264" w:lineRule="auto"/>
        <w:ind w:right="119"/>
        <w:jc w:val="both"/>
        <w:rPr>
          <w:rFonts w:ascii="Calibri" w:hAnsi="Calibri" w:cs="Calibri"/>
          <w:sz w:val="22"/>
          <w:szCs w:val="22"/>
          <w:u w:color="595959"/>
        </w:rPr>
      </w:pPr>
    </w:p>
    <w:p w14:paraId="523D4CAE" w14:textId="6A57415E" w:rsidR="006647AC" w:rsidRDefault="006647AC" w:rsidP="006647AC">
      <w:pPr>
        <w:pStyle w:val="BodyText"/>
        <w:spacing w:line="264" w:lineRule="auto"/>
        <w:ind w:right="119"/>
        <w:jc w:val="both"/>
        <w:rPr>
          <w:rFonts w:ascii="Calibri" w:hAnsi="Calibri" w:cs="Calibri"/>
          <w:sz w:val="22"/>
          <w:szCs w:val="22"/>
          <w:u w:color="595959"/>
        </w:rPr>
      </w:pPr>
      <w:r w:rsidRPr="004D2773">
        <w:rPr>
          <w:rFonts w:ascii="Calibri" w:hAnsi="Calibri" w:cs="Calibri"/>
          <w:sz w:val="22"/>
          <w:szCs w:val="22"/>
          <w:u w:color="595959"/>
        </w:rPr>
        <w:t xml:space="preserve">The campaign will also provide a space for inspiration and mobilization for further actions and commitment towards SDGs, giving a voice and space for </w:t>
      </w:r>
      <w:r>
        <w:rPr>
          <w:rFonts w:ascii="Calibri" w:hAnsi="Calibri" w:cs="Calibri"/>
          <w:sz w:val="22"/>
          <w:szCs w:val="22"/>
          <w:u w:color="595959"/>
        </w:rPr>
        <w:t xml:space="preserve">the </w:t>
      </w:r>
      <w:r w:rsidRPr="004D2773">
        <w:rPr>
          <w:rFonts w:ascii="Calibri" w:hAnsi="Calibri" w:cs="Calibri"/>
          <w:sz w:val="22"/>
          <w:szCs w:val="22"/>
          <w:u w:color="595959"/>
        </w:rPr>
        <w:t xml:space="preserve">public to learn and get inspired to make </w:t>
      </w:r>
      <w:r w:rsidRPr="004D2773">
        <w:rPr>
          <w:rFonts w:ascii="Calibri" w:hAnsi="Calibri" w:cs="Calibri"/>
          <w:sz w:val="22"/>
          <w:szCs w:val="22"/>
          <w:u w:color="595959"/>
        </w:rPr>
        <w:lastRenderedPageBreak/>
        <w:t xml:space="preserve">positive changes in their personal and collective </w:t>
      </w:r>
      <w:r>
        <w:rPr>
          <w:rFonts w:ascii="Calibri" w:hAnsi="Calibri" w:cs="Calibri"/>
          <w:sz w:val="22"/>
          <w:szCs w:val="22"/>
          <w:u w:color="595959"/>
        </w:rPr>
        <w:t>behavior</w:t>
      </w:r>
      <w:r w:rsidRPr="004D2773">
        <w:rPr>
          <w:rFonts w:ascii="Calibri" w:hAnsi="Calibri" w:cs="Calibri"/>
          <w:sz w:val="22"/>
          <w:szCs w:val="22"/>
          <w:u w:color="595959"/>
        </w:rPr>
        <w:t xml:space="preserve"> and sustainable footprint. </w:t>
      </w:r>
    </w:p>
    <w:p w14:paraId="3073A8DD" w14:textId="596E806C" w:rsidR="006647AC" w:rsidRDefault="006647AC" w:rsidP="006647AC">
      <w:pPr>
        <w:pStyle w:val="BodyText"/>
        <w:spacing w:line="264" w:lineRule="auto"/>
        <w:ind w:right="119"/>
        <w:jc w:val="both"/>
        <w:rPr>
          <w:rFonts w:ascii="Calibri" w:hAnsi="Calibri" w:cs="Calibri"/>
          <w:sz w:val="22"/>
          <w:szCs w:val="22"/>
          <w:u w:color="595959"/>
        </w:rPr>
      </w:pPr>
    </w:p>
    <w:p w14:paraId="7EA7F85C" w14:textId="360D0D44" w:rsidR="006647AC" w:rsidRPr="004D2773" w:rsidRDefault="006647AC" w:rsidP="006647AC">
      <w:pPr>
        <w:pStyle w:val="BodyText"/>
        <w:spacing w:line="264" w:lineRule="auto"/>
        <w:ind w:right="119"/>
        <w:jc w:val="both"/>
        <w:rPr>
          <w:rFonts w:ascii="Calibri" w:hAnsi="Calibri" w:cs="Calibri"/>
          <w:lang w:val="mn-MN"/>
        </w:rPr>
      </w:pPr>
      <w:r>
        <w:rPr>
          <w:rFonts w:ascii="Calibri" w:hAnsi="Calibri" w:cs="Calibri"/>
          <w:sz w:val="22"/>
          <w:szCs w:val="22"/>
          <w:u w:color="595959"/>
        </w:rPr>
        <w:t>This campaign primarily focuses on:</w:t>
      </w:r>
    </w:p>
    <w:p w14:paraId="0CEFE393" w14:textId="77777777" w:rsidR="006647AC" w:rsidRPr="004D2773" w:rsidRDefault="006647AC" w:rsidP="006647AC">
      <w:pPr>
        <w:pStyle w:val="ListParagraph"/>
        <w:numPr>
          <w:ilvl w:val="0"/>
          <w:numId w:val="8"/>
        </w:numPr>
        <w:pBdr>
          <w:top w:val="nil"/>
          <w:left w:val="nil"/>
          <w:bottom w:val="nil"/>
          <w:right w:val="nil"/>
          <w:between w:val="nil"/>
          <w:bar w:val="nil"/>
        </w:pBdr>
        <w:spacing w:after="0" w:line="240" w:lineRule="auto"/>
        <w:rPr>
          <w:rFonts w:ascii="Calibri" w:hAnsi="Calibri" w:cs="Calibri"/>
        </w:rPr>
      </w:pPr>
      <w:r w:rsidRPr="004D2773">
        <w:rPr>
          <w:rFonts w:ascii="Calibri" w:hAnsi="Calibri" w:cs="Calibri"/>
        </w:rPr>
        <w:t>Youth engagement for SDGs</w:t>
      </w:r>
    </w:p>
    <w:p w14:paraId="3AFACFA3" w14:textId="7A5A3772" w:rsidR="006647AC" w:rsidRDefault="00FF6172" w:rsidP="00FF6172">
      <w:pPr>
        <w:pStyle w:val="ListParagraph"/>
        <w:numPr>
          <w:ilvl w:val="0"/>
          <w:numId w:val="8"/>
        </w:numPr>
        <w:pBdr>
          <w:top w:val="nil"/>
          <w:left w:val="nil"/>
          <w:bottom w:val="nil"/>
          <w:right w:val="nil"/>
          <w:between w:val="nil"/>
          <w:bar w:val="nil"/>
        </w:pBdr>
        <w:spacing w:after="0" w:line="240" w:lineRule="auto"/>
        <w:rPr>
          <w:rFonts w:ascii="Calibri" w:hAnsi="Calibri" w:cs="Calibri"/>
        </w:rPr>
      </w:pPr>
      <w:r>
        <w:rPr>
          <w:rFonts w:ascii="Calibri" w:hAnsi="Calibri" w:cs="Calibri"/>
        </w:rPr>
        <w:t>P</w:t>
      </w:r>
      <w:r w:rsidR="006647AC" w:rsidRPr="004D2773">
        <w:rPr>
          <w:rFonts w:ascii="Calibri" w:hAnsi="Calibri" w:cs="Calibri"/>
        </w:rPr>
        <w:t xml:space="preserve">ublic </w:t>
      </w:r>
      <w:r w:rsidR="006647AC">
        <w:rPr>
          <w:rFonts w:ascii="Calibri" w:hAnsi="Calibri" w:cs="Calibri"/>
        </w:rPr>
        <w:t>outreach</w:t>
      </w:r>
      <w:r>
        <w:rPr>
          <w:rFonts w:ascii="Calibri" w:hAnsi="Calibri" w:cs="Calibri"/>
        </w:rPr>
        <w:t xml:space="preserve"> and call to action</w:t>
      </w:r>
      <w:r w:rsidR="006647AC" w:rsidRPr="004D2773">
        <w:rPr>
          <w:rFonts w:ascii="Calibri" w:hAnsi="Calibri" w:cs="Calibri"/>
        </w:rPr>
        <w:t xml:space="preserve"> </w:t>
      </w:r>
      <w:r w:rsidR="006647AC">
        <w:rPr>
          <w:rFonts w:ascii="Calibri" w:hAnsi="Calibri" w:cs="Calibri"/>
        </w:rPr>
        <w:t xml:space="preserve">on SDGs </w:t>
      </w:r>
      <w:r w:rsidR="006647AC" w:rsidRPr="004D2773">
        <w:rPr>
          <w:rFonts w:ascii="Calibri" w:hAnsi="Calibri" w:cs="Calibri"/>
        </w:rPr>
        <w:t xml:space="preserve">around the SDG National Forum </w:t>
      </w:r>
    </w:p>
    <w:p w14:paraId="720DF8A3" w14:textId="77777777" w:rsidR="00FF6172" w:rsidRPr="00FF6172" w:rsidRDefault="00FF6172" w:rsidP="00FF6172">
      <w:pPr>
        <w:pStyle w:val="ListParagraph"/>
        <w:pBdr>
          <w:top w:val="nil"/>
          <w:left w:val="nil"/>
          <w:bottom w:val="nil"/>
          <w:right w:val="nil"/>
          <w:between w:val="nil"/>
          <w:bar w:val="nil"/>
        </w:pBdr>
        <w:spacing w:after="0" w:line="240" w:lineRule="auto"/>
        <w:rPr>
          <w:rFonts w:ascii="Calibri" w:hAnsi="Calibri" w:cs="Calibri"/>
        </w:rPr>
      </w:pPr>
    </w:p>
    <w:p w14:paraId="75D0D33A" w14:textId="31F04344" w:rsidR="004F7EC0" w:rsidRPr="00E047EE" w:rsidRDefault="00C07649" w:rsidP="002433F6">
      <w:pPr>
        <w:jc w:val="both"/>
        <w:rPr>
          <w:i/>
          <w:iCs/>
          <w:u w:val="single"/>
        </w:rPr>
      </w:pPr>
      <w:r>
        <w:rPr>
          <w:i/>
          <w:iCs/>
          <w:u w:val="single"/>
        </w:rPr>
        <w:t xml:space="preserve">Focal persons for </w:t>
      </w:r>
      <w:r w:rsidR="00AF7D32">
        <w:rPr>
          <w:i/>
          <w:iCs/>
          <w:u w:val="single"/>
        </w:rPr>
        <w:t xml:space="preserve">the </w:t>
      </w:r>
      <w:r>
        <w:rPr>
          <w:i/>
          <w:iCs/>
          <w:u w:val="single"/>
        </w:rPr>
        <w:t>Forum</w:t>
      </w:r>
      <w:r w:rsidR="000B065A" w:rsidRPr="00E047EE">
        <w:rPr>
          <w:i/>
          <w:iCs/>
          <w:u w:val="single"/>
        </w:rPr>
        <w:t xml:space="preserve">: </w:t>
      </w:r>
    </w:p>
    <w:p w14:paraId="5101B73D" w14:textId="0B73D576" w:rsidR="0072622D" w:rsidRDefault="0063438D" w:rsidP="002433F6">
      <w:pPr>
        <w:jc w:val="both"/>
      </w:pPr>
      <w:r>
        <w:t xml:space="preserve">Ministry of Economy and Development </w:t>
      </w:r>
      <w:r w:rsidR="006653F0">
        <w:t xml:space="preserve">and the Ministry of Foreign Affairs of Mongolia are the focal Ministries leading </w:t>
      </w:r>
      <w:r w:rsidR="005E21A5">
        <w:t xml:space="preserve">the preparation process within the Government. The President of Mongolia expressed </w:t>
      </w:r>
      <w:r w:rsidR="00DB7AA0">
        <w:t xml:space="preserve">his strong support for Mongolia’s preparation for the Summit. </w:t>
      </w:r>
    </w:p>
    <w:p w14:paraId="00746F01" w14:textId="3A06E476" w:rsidR="00990846" w:rsidRDefault="00990846" w:rsidP="002433F6">
      <w:pPr>
        <w:jc w:val="both"/>
      </w:pPr>
      <w:r>
        <w:t>Focal persons:</w:t>
      </w:r>
      <w:r w:rsidR="002C4537">
        <w:t xml:space="preserve"> </w:t>
      </w:r>
    </w:p>
    <w:p w14:paraId="0EB24C43" w14:textId="77777777" w:rsidR="00A5183E" w:rsidRDefault="00FB1591" w:rsidP="002433F6">
      <w:pPr>
        <w:jc w:val="both"/>
      </w:pPr>
      <w:r w:rsidRPr="00513066">
        <w:rPr>
          <w:b/>
          <w:bCs/>
          <w:u w:val="single"/>
        </w:rPr>
        <w:t>MED</w:t>
      </w:r>
      <w:r>
        <w:t xml:space="preserve">: </w:t>
      </w:r>
    </w:p>
    <w:p w14:paraId="134312C1" w14:textId="506CBC0C" w:rsidR="00FB1591" w:rsidRDefault="00DE7BBB" w:rsidP="002433F6">
      <w:pPr>
        <w:jc w:val="both"/>
      </w:pPr>
      <w:proofErr w:type="spellStart"/>
      <w:r>
        <w:t>Balchinluvsan</w:t>
      </w:r>
      <w:proofErr w:type="spellEnd"/>
      <w:r>
        <w:t xml:space="preserve"> Lkhagvasuren</w:t>
      </w:r>
      <w:r w:rsidR="009F344C">
        <w:t xml:space="preserve">, DG of the </w:t>
      </w:r>
      <w:r w:rsidR="006E4E15">
        <w:t xml:space="preserve">Integrated Policy Coordination and Planning Department, MED </w:t>
      </w:r>
      <w:r w:rsidR="0003035F" w:rsidRPr="0003035F">
        <w:t xml:space="preserve"> </w:t>
      </w:r>
      <w:hyperlink r:id="rId6" w:history="1">
        <w:r w:rsidR="0003035F" w:rsidRPr="001D761A">
          <w:rPr>
            <w:rStyle w:val="Hyperlink"/>
          </w:rPr>
          <w:t>balchinluvsan.l@med.gov.mn</w:t>
        </w:r>
      </w:hyperlink>
      <w:r w:rsidR="006E4E15">
        <w:t xml:space="preserve">; </w:t>
      </w:r>
      <w:r w:rsidR="0003035F">
        <w:t xml:space="preserve"> </w:t>
      </w:r>
    </w:p>
    <w:p w14:paraId="343A25B8" w14:textId="0EF37BAE" w:rsidR="00A5183E" w:rsidRDefault="00DE7BBB" w:rsidP="002433F6">
      <w:pPr>
        <w:jc w:val="both"/>
      </w:pPr>
      <w:proofErr w:type="spellStart"/>
      <w:r>
        <w:t>Mungunsukh</w:t>
      </w:r>
      <w:proofErr w:type="spellEnd"/>
      <w:r>
        <w:t xml:space="preserve"> Batchuluun</w:t>
      </w:r>
      <w:r w:rsidR="00B952C1">
        <w:t xml:space="preserve">, </w:t>
      </w:r>
      <w:r w:rsidR="001038AF">
        <w:t xml:space="preserve">Head of Social </w:t>
      </w:r>
      <w:r w:rsidR="0064223E">
        <w:t>P</w:t>
      </w:r>
      <w:r w:rsidR="0076033B">
        <w:t>olicy Division, MED</w:t>
      </w:r>
      <w:r w:rsidR="00B952C1" w:rsidRPr="00B952C1">
        <w:t xml:space="preserve"> </w:t>
      </w:r>
      <w:hyperlink r:id="rId7" w:history="1">
        <w:r w:rsidR="00B952C1" w:rsidRPr="001D761A">
          <w:rPr>
            <w:rStyle w:val="Hyperlink"/>
          </w:rPr>
          <w:t>mungunsukh.b@med.gov.mn</w:t>
        </w:r>
      </w:hyperlink>
      <w:r w:rsidR="00FB26A0">
        <w:t>;</w:t>
      </w:r>
    </w:p>
    <w:p w14:paraId="2AB544A6" w14:textId="49DAAFA9" w:rsidR="00FB26A0" w:rsidRDefault="00DE7BBB" w:rsidP="002433F6">
      <w:pPr>
        <w:jc w:val="both"/>
      </w:pPr>
      <w:r>
        <w:t>Enkh-Munkh Otgontogtokh</w:t>
      </w:r>
      <w:r w:rsidR="00FB26A0">
        <w:t xml:space="preserve">, </w:t>
      </w:r>
      <w:r w:rsidR="005E14D4">
        <w:t xml:space="preserve">Officer, Integrated Policy Coordination and Planning Department, MED </w:t>
      </w:r>
      <w:r w:rsidR="005E14D4" w:rsidRPr="0003035F">
        <w:t xml:space="preserve"> </w:t>
      </w:r>
      <w:r w:rsidR="00FB26A0" w:rsidRPr="00FB26A0">
        <w:t xml:space="preserve"> </w:t>
      </w:r>
      <w:hyperlink r:id="rId8" w:history="1">
        <w:r w:rsidR="005E14D4" w:rsidRPr="001D761A">
          <w:rPr>
            <w:rStyle w:val="Hyperlink"/>
          </w:rPr>
          <w:t>enkhmunkh.o@med.gov.mn</w:t>
        </w:r>
      </w:hyperlink>
      <w:r w:rsidR="005E14D4">
        <w:t xml:space="preserve"> </w:t>
      </w:r>
    </w:p>
    <w:p w14:paraId="372A4880" w14:textId="72C8B26F" w:rsidR="005E14D4" w:rsidRDefault="00BB3BDE" w:rsidP="002433F6">
      <w:pPr>
        <w:jc w:val="both"/>
      </w:pPr>
      <w:r w:rsidRPr="00513066">
        <w:rPr>
          <w:b/>
          <w:bCs/>
          <w:u w:val="single"/>
        </w:rPr>
        <w:t>MFA</w:t>
      </w:r>
      <w:r>
        <w:t>:</w:t>
      </w:r>
    </w:p>
    <w:p w14:paraId="70C9CD00" w14:textId="7619BF97" w:rsidR="00BB3BDE" w:rsidRDefault="00880266" w:rsidP="002433F6">
      <w:pPr>
        <w:jc w:val="both"/>
      </w:pPr>
      <w:proofErr w:type="spellStart"/>
      <w:r>
        <w:t>Mandkhai</w:t>
      </w:r>
      <w:proofErr w:type="spellEnd"/>
      <w:r>
        <w:t xml:space="preserve"> </w:t>
      </w:r>
      <w:proofErr w:type="spellStart"/>
      <w:r w:rsidR="00EB19BE">
        <w:t>Batsuren</w:t>
      </w:r>
      <w:proofErr w:type="spellEnd"/>
      <w:r w:rsidR="00EB19BE">
        <w:t xml:space="preserve">, DG, Multilateral </w:t>
      </w:r>
      <w:r w:rsidR="00E03B1E">
        <w:t>Coordination Department, MFA</w:t>
      </w:r>
      <w:r w:rsidRPr="00880266">
        <w:t xml:space="preserve"> </w:t>
      </w:r>
      <w:hyperlink r:id="rId9" w:history="1">
        <w:r w:rsidRPr="001D761A">
          <w:rPr>
            <w:rStyle w:val="Hyperlink"/>
          </w:rPr>
          <w:t>dep06-1@mfa.gov.mn</w:t>
        </w:r>
      </w:hyperlink>
      <w:r>
        <w:t xml:space="preserve"> </w:t>
      </w:r>
    </w:p>
    <w:p w14:paraId="7DA20AE2" w14:textId="0ADCD4E7" w:rsidR="00E03B1E" w:rsidRDefault="00EF3E50" w:rsidP="002433F6">
      <w:pPr>
        <w:jc w:val="both"/>
      </w:pPr>
      <w:r>
        <w:t xml:space="preserve">Gereltsetseg. B, </w:t>
      </w:r>
      <w:r w:rsidR="00513066">
        <w:t>Adviser, Multilateral Coordination Department, MFA,</w:t>
      </w:r>
      <w:r w:rsidR="00513066" w:rsidRPr="00880266">
        <w:t xml:space="preserve"> </w:t>
      </w:r>
      <w:hyperlink r:id="rId10" w:history="1">
        <w:r w:rsidR="00513066" w:rsidRPr="001D761A">
          <w:rPr>
            <w:rStyle w:val="Hyperlink"/>
          </w:rPr>
          <w:t>dep06-5@mfa.gov.mn</w:t>
        </w:r>
      </w:hyperlink>
      <w:r w:rsidR="00513066">
        <w:t xml:space="preserve"> </w:t>
      </w:r>
    </w:p>
    <w:p w14:paraId="267C62A8" w14:textId="29287356" w:rsidR="00944A54" w:rsidRPr="009B0FAD" w:rsidRDefault="005A0E79" w:rsidP="002433F6">
      <w:pPr>
        <w:jc w:val="both"/>
        <w:rPr>
          <w:b/>
          <w:bCs/>
        </w:rPr>
      </w:pPr>
      <w:r w:rsidRPr="00DE7BBB">
        <w:rPr>
          <w:b/>
          <w:bCs/>
          <w:u w:val="single"/>
        </w:rPr>
        <w:t>UN Resident Coordinator’s Office</w:t>
      </w:r>
      <w:r w:rsidR="0064002F" w:rsidRPr="00DE7BBB">
        <w:rPr>
          <w:b/>
          <w:bCs/>
          <w:u w:val="single"/>
        </w:rPr>
        <w:t xml:space="preserve"> (RCO)</w:t>
      </w:r>
      <w:r w:rsidR="009A5383" w:rsidRPr="009B0FAD">
        <w:rPr>
          <w:b/>
          <w:bCs/>
        </w:rPr>
        <w:t>:</w:t>
      </w:r>
    </w:p>
    <w:p w14:paraId="1FA6BE4E" w14:textId="071A7461" w:rsidR="009A5383" w:rsidRDefault="009A5383" w:rsidP="002433F6">
      <w:pPr>
        <w:jc w:val="both"/>
      </w:pPr>
      <w:r>
        <w:t>Doljinsuren Jambal</w:t>
      </w:r>
      <w:r w:rsidR="0064002F">
        <w:t>, Strategic Planner and Head of RCO</w:t>
      </w:r>
      <w:r w:rsidR="002133A3">
        <w:t>,</w:t>
      </w:r>
      <w:r w:rsidR="00E1303D">
        <w:t xml:space="preserve"> </w:t>
      </w:r>
      <w:hyperlink r:id="rId11" w:history="1">
        <w:r w:rsidR="002133A3" w:rsidRPr="006234C4">
          <w:rPr>
            <w:rStyle w:val="Hyperlink"/>
          </w:rPr>
          <w:t>doljinsuren.jambal@un.org</w:t>
        </w:r>
      </w:hyperlink>
      <w:r w:rsidR="00E1303D">
        <w:t xml:space="preserve"> </w:t>
      </w:r>
    </w:p>
    <w:p w14:paraId="277D6F34" w14:textId="38160617" w:rsidR="00E1303D" w:rsidRDefault="00E1303D" w:rsidP="002433F6">
      <w:pPr>
        <w:jc w:val="both"/>
      </w:pPr>
      <w:r>
        <w:t>So</w:t>
      </w:r>
      <w:r w:rsidR="003517EA">
        <w:t>yolmaa Dolgor, Communications and Advocacy Officer,</w:t>
      </w:r>
      <w:r w:rsidR="00272B30">
        <w:t xml:space="preserve"> RCO,</w:t>
      </w:r>
      <w:r w:rsidR="003517EA">
        <w:t xml:space="preserve"> </w:t>
      </w:r>
      <w:hyperlink r:id="rId12" w:history="1">
        <w:r w:rsidR="002133A3" w:rsidRPr="006234C4">
          <w:rPr>
            <w:rStyle w:val="Hyperlink"/>
          </w:rPr>
          <w:t>soyolmaa.dolgor@un.org</w:t>
        </w:r>
      </w:hyperlink>
      <w:r w:rsidR="002133A3">
        <w:t xml:space="preserve"> </w:t>
      </w:r>
      <w:r w:rsidR="009B0FAD">
        <w:t>(focal person for SDGs Action Campaign)</w:t>
      </w:r>
    </w:p>
    <w:p w14:paraId="3DAD9147" w14:textId="0889874E" w:rsidR="009B0FAD" w:rsidRDefault="004D181E" w:rsidP="002433F6">
      <w:pPr>
        <w:jc w:val="both"/>
      </w:pPr>
      <w:r>
        <w:t xml:space="preserve">Naran Otgonbayar, Administrative Associate, RCO, </w:t>
      </w:r>
      <w:hyperlink r:id="rId13" w:history="1">
        <w:r w:rsidR="009B7FF8" w:rsidRPr="006234C4">
          <w:rPr>
            <w:rStyle w:val="Hyperlink"/>
          </w:rPr>
          <w:t>naran.otgonbayar@un.org</w:t>
        </w:r>
      </w:hyperlink>
      <w:r w:rsidR="009B7FF8">
        <w:t xml:space="preserve"> (</w:t>
      </w:r>
      <w:r w:rsidR="004F2C5F">
        <w:t>focal person for logistics)</w:t>
      </w:r>
    </w:p>
    <w:p w14:paraId="1F1862AD" w14:textId="24C275F6" w:rsidR="00A815E4" w:rsidRDefault="00A815E4" w:rsidP="002433F6">
      <w:pPr>
        <w:jc w:val="both"/>
      </w:pPr>
    </w:p>
    <w:p w14:paraId="53341B6F" w14:textId="77777777" w:rsidR="00A815E4" w:rsidRDefault="00A815E4" w:rsidP="002433F6">
      <w:pPr>
        <w:jc w:val="both"/>
      </w:pPr>
    </w:p>
    <w:p w14:paraId="77135CBE" w14:textId="77777777" w:rsidR="002F3E1D" w:rsidRDefault="002F3E1D" w:rsidP="002433F6">
      <w:pPr>
        <w:jc w:val="both"/>
      </w:pPr>
    </w:p>
    <w:p w14:paraId="0D0B0187" w14:textId="77777777" w:rsidR="002F3E1D" w:rsidRDefault="002F3E1D" w:rsidP="002433F6">
      <w:pPr>
        <w:jc w:val="both"/>
      </w:pPr>
    </w:p>
    <w:p w14:paraId="78FF3A21" w14:textId="77777777" w:rsidR="002F3E1D" w:rsidRDefault="002F3E1D" w:rsidP="002433F6">
      <w:pPr>
        <w:jc w:val="both"/>
      </w:pPr>
    </w:p>
    <w:p w14:paraId="4B23C6EE" w14:textId="77777777" w:rsidR="002F3E1D" w:rsidRDefault="002F3E1D" w:rsidP="002433F6">
      <w:pPr>
        <w:jc w:val="both"/>
      </w:pPr>
    </w:p>
    <w:p w14:paraId="54B9A16F" w14:textId="77777777" w:rsidR="002F3E1D" w:rsidRDefault="002F3E1D" w:rsidP="002433F6">
      <w:pPr>
        <w:jc w:val="both"/>
      </w:pPr>
    </w:p>
    <w:p w14:paraId="054957E2" w14:textId="77777777" w:rsidR="002F3E1D" w:rsidRDefault="002F3E1D" w:rsidP="002433F6">
      <w:pPr>
        <w:jc w:val="both"/>
      </w:pPr>
    </w:p>
    <w:p w14:paraId="3E741BE6" w14:textId="6D9C6B04" w:rsidR="00A815E4" w:rsidRPr="00A815E4" w:rsidRDefault="00A815E4" w:rsidP="002F3E1D">
      <w:pPr>
        <w:jc w:val="center"/>
        <w:rPr>
          <w:b/>
          <w:bCs/>
          <w:sz w:val="24"/>
          <w:szCs w:val="24"/>
        </w:rPr>
      </w:pPr>
      <w:r w:rsidRPr="00A815E4">
        <w:rPr>
          <w:b/>
          <w:bCs/>
          <w:sz w:val="24"/>
          <w:szCs w:val="24"/>
        </w:rPr>
        <w:lastRenderedPageBreak/>
        <w:t>Agenda of the Forum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19"/>
        <w:gridCol w:w="7731"/>
      </w:tblGrid>
      <w:tr w:rsidR="00A815E4" w:rsidRPr="008D350F" w14:paraId="0F49EBDF" w14:textId="77777777" w:rsidTr="00C23207">
        <w:trPr>
          <w:trHeight w:val="537"/>
        </w:trPr>
        <w:tc>
          <w:tcPr>
            <w:tcW w:w="866" w:type="pct"/>
            <w:shd w:val="clear" w:color="auto" w:fill="002060"/>
            <w:vAlign w:val="center"/>
          </w:tcPr>
          <w:p w14:paraId="3DD7BBEF" w14:textId="77777777" w:rsidR="00A815E4" w:rsidRPr="00860B5B" w:rsidRDefault="00A815E4" w:rsidP="00C23207">
            <w:pPr>
              <w:spacing w:after="0" w:line="240" w:lineRule="auto"/>
              <w:contextualSpacing/>
              <w:jc w:val="center"/>
              <w:rPr>
                <w:rFonts w:ascii="Arial" w:eastAsia="Times New Roman" w:hAnsi="Arial" w:cs="Arial"/>
                <w:b/>
                <w:i/>
                <w:color w:val="FFFFFF" w:themeColor="background1"/>
              </w:rPr>
            </w:pPr>
            <w:r>
              <w:rPr>
                <w:rFonts w:ascii="Arial" w:eastAsia="Times New Roman" w:hAnsi="Arial" w:cs="Arial"/>
                <w:b/>
                <w:i/>
                <w:color w:val="FFFFFF" w:themeColor="background1"/>
              </w:rPr>
              <w:t>Time</w:t>
            </w:r>
          </w:p>
        </w:tc>
        <w:tc>
          <w:tcPr>
            <w:tcW w:w="4134" w:type="pct"/>
            <w:shd w:val="clear" w:color="auto" w:fill="002060"/>
            <w:vAlign w:val="center"/>
          </w:tcPr>
          <w:p w14:paraId="1851A594" w14:textId="77777777" w:rsidR="00A815E4" w:rsidRPr="00860B5B" w:rsidRDefault="00A815E4" w:rsidP="00C23207">
            <w:pPr>
              <w:spacing w:after="0" w:line="240" w:lineRule="auto"/>
              <w:contextualSpacing/>
              <w:jc w:val="center"/>
              <w:rPr>
                <w:rFonts w:ascii="Arial" w:eastAsia="Times New Roman" w:hAnsi="Arial" w:cs="Arial"/>
                <w:b/>
                <w:i/>
                <w:color w:val="FFFFFF" w:themeColor="background1"/>
              </w:rPr>
            </w:pPr>
            <w:r>
              <w:rPr>
                <w:rFonts w:ascii="Arial" w:eastAsia="Times New Roman" w:hAnsi="Arial" w:cs="Arial"/>
                <w:b/>
                <w:i/>
                <w:color w:val="FFFFFF" w:themeColor="background1"/>
              </w:rPr>
              <w:t>Activity</w:t>
            </w:r>
          </w:p>
        </w:tc>
      </w:tr>
      <w:tr w:rsidR="00A815E4" w:rsidRPr="008D350F" w14:paraId="67EBEC28" w14:textId="77777777" w:rsidTr="00C23207">
        <w:trPr>
          <w:trHeight w:val="627"/>
        </w:trPr>
        <w:tc>
          <w:tcPr>
            <w:tcW w:w="866" w:type="pct"/>
            <w:vAlign w:val="center"/>
          </w:tcPr>
          <w:p w14:paraId="21EA79F8"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color w:val="000000" w:themeColor="text1"/>
                <w:lang w:val="mn-MN"/>
              </w:rPr>
              <w:t>08:30 – 09:00</w:t>
            </w:r>
          </w:p>
        </w:tc>
        <w:tc>
          <w:tcPr>
            <w:tcW w:w="4134" w:type="pct"/>
            <w:vAlign w:val="center"/>
          </w:tcPr>
          <w:p w14:paraId="3B55DC29" w14:textId="77777777" w:rsidR="00A815E4" w:rsidRPr="00C96F4B" w:rsidRDefault="00A815E4" w:rsidP="00C23207">
            <w:pPr>
              <w:spacing w:after="0" w:line="240" w:lineRule="auto"/>
              <w:contextualSpacing/>
              <w:jc w:val="both"/>
              <w:rPr>
                <w:rFonts w:ascii="Arial" w:hAnsi="Arial" w:cs="Arial"/>
                <w:b/>
                <w:i/>
                <w:iCs/>
              </w:rPr>
            </w:pPr>
            <w:r>
              <w:rPr>
                <w:rFonts w:ascii="Arial" w:hAnsi="Arial" w:cs="Arial"/>
                <w:b/>
                <w:i/>
                <w:iCs/>
              </w:rPr>
              <w:t>Registration</w:t>
            </w:r>
          </w:p>
        </w:tc>
      </w:tr>
      <w:tr w:rsidR="00A815E4" w:rsidRPr="008D350F" w14:paraId="36D09232" w14:textId="77777777" w:rsidTr="00C23207">
        <w:trPr>
          <w:trHeight w:val="1052"/>
        </w:trPr>
        <w:tc>
          <w:tcPr>
            <w:tcW w:w="866" w:type="pct"/>
            <w:vAlign w:val="center"/>
          </w:tcPr>
          <w:p w14:paraId="60CF9D83" w14:textId="77777777" w:rsidR="00A815E4" w:rsidRPr="008D350F" w:rsidRDefault="00A815E4" w:rsidP="00C23207">
            <w:pPr>
              <w:spacing w:after="0" w:line="240" w:lineRule="auto"/>
              <w:contextualSpacing/>
              <w:jc w:val="center"/>
              <w:rPr>
                <w:rFonts w:ascii="Arial" w:eastAsia="Times New Roman" w:hAnsi="Arial" w:cs="Arial"/>
                <w:color w:val="000000" w:themeColor="text1"/>
                <w:lang w:val="mn-MN"/>
              </w:rPr>
            </w:pPr>
            <w:r w:rsidRPr="008D350F">
              <w:rPr>
                <w:rFonts w:ascii="Arial" w:eastAsia="Times New Roman" w:hAnsi="Arial" w:cs="Arial"/>
                <w:color w:val="000000" w:themeColor="text1"/>
                <w:lang w:val="mn-MN"/>
              </w:rPr>
              <w:t>09:00 – 09:15</w:t>
            </w:r>
          </w:p>
        </w:tc>
        <w:tc>
          <w:tcPr>
            <w:tcW w:w="4134" w:type="pct"/>
            <w:vAlign w:val="center"/>
          </w:tcPr>
          <w:p w14:paraId="17DA8269" w14:textId="77777777" w:rsidR="00A815E4" w:rsidRPr="00C96F4B" w:rsidRDefault="00A815E4" w:rsidP="00C23207">
            <w:pPr>
              <w:spacing w:after="0" w:line="240" w:lineRule="auto"/>
              <w:jc w:val="both"/>
              <w:rPr>
                <w:rFonts w:ascii="Arial" w:hAnsi="Arial" w:cs="Arial"/>
                <w:b/>
                <w:i/>
                <w:iCs/>
              </w:rPr>
            </w:pPr>
            <w:r>
              <w:rPr>
                <w:rFonts w:ascii="Arial" w:hAnsi="Arial" w:cs="Arial"/>
                <w:b/>
                <w:i/>
                <w:iCs/>
              </w:rPr>
              <w:t>Opening remark</w:t>
            </w:r>
          </w:p>
          <w:p w14:paraId="34C9A520" w14:textId="77777777" w:rsidR="00A815E4" w:rsidRPr="008D350F" w:rsidRDefault="00A815E4" w:rsidP="00C23207">
            <w:pPr>
              <w:pStyle w:val="ListParagraph"/>
              <w:numPr>
                <w:ilvl w:val="0"/>
                <w:numId w:val="9"/>
              </w:numPr>
              <w:spacing w:after="0" w:line="240" w:lineRule="auto"/>
              <w:jc w:val="both"/>
              <w:rPr>
                <w:rFonts w:ascii="Arial" w:hAnsi="Arial" w:cs="Arial"/>
                <w:iCs/>
                <w:lang w:val="mn-MN"/>
              </w:rPr>
            </w:pPr>
            <w:r>
              <w:rPr>
                <w:rFonts w:ascii="Arial" w:hAnsi="Arial" w:cs="Arial"/>
                <w:iCs/>
              </w:rPr>
              <w:t xml:space="preserve">KHURELSUKH UKHNAA, President of Mongolia </w:t>
            </w:r>
          </w:p>
        </w:tc>
      </w:tr>
      <w:tr w:rsidR="00A815E4" w:rsidRPr="008D350F" w14:paraId="39E4485E" w14:textId="77777777" w:rsidTr="00C23207">
        <w:trPr>
          <w:trHeight w:val="982"/>
        </w:trPr>
        <w:tc>
          <w:tcPr>
            <w:tcW w:w="866" w:type="pct"/>
            <w:vAlign w:val="center"/>
          </w:tcPr>
          <w:p w14:paraId="7A854C45" w14:textId="77777777" w:rsidR="00A815E4" w:rsidRPr="008D350F" w:rsidRDefault="00A815E4" w:rsidP="00C23207">
            <w:pPr>
              <w:spacing w:after="0" w:line="240" w:lineRule="auto"/>
              <w:contextualSpacing/>
              <w:jc w:val="center"/>
              <w:rPr>
                <w:rFonts w:ascii="Arial" w:eastAsia="Times New Roman" w:hAnsi="Arial" w:cs="Arial"/>
                <w:color w:val="000000" w:themeColor="text1"/>
                <w:lang w:val="mn-MN"/>
              </w:rPr>
            </w:pPr>
            <w:r w:rsidRPr="008D350F">
              <w:rPr>
                <w:rFonts w:ascii="Arial" w:eastAsia="Times New Roman" w:hAnsi="Arial" w:cs="Arial"/>
                <w:lang w:val="mn-MN"/>
              </w:rPr>
              <w:t>09:15 – 09:20</w:t>
            </w:r>
          </w:p>
        </w:tc>
        <w:tc>
          <w:tcPr>
            <w:tcW w:w="4134" w:type="pct"/>
            <w:vAlign w:val="center"/>
          </w:tcPr>
          <w:p w14:paraId="66CBF78A" w14:textId="77777777" w:rsidR="00A815E4" w:rsidRPr="008D350F" w:rsidRDefault="00A815E4" w:rsidP="00C23207">
            <w:pPr>
              <w:spacing w:after="0"/>
              <w:jc w:val="both"/>
              <w:rPr>
                <w:rFonts w:ascii="Arial" w:eastAsia="Times New Roman" w:hAnsi="Arial" w:cs="Arial"/>
                <w:bCs/>
                <w:lang w:val="mn-MN"/>
              </w:rPr>
            </w:pPr>
            <w:r>
              <w:rPr>
                <w:rFonts w:ascii="Arial" w:eastAsia="Times New Roman" w:hAnsi="Arial" w:cs="Arial"/>
                <w:b/>
              </w:rPr>
              <w:t>Video presentation</w:t>
            </w:r>
            <w:r w:rsidRPr="008D350F">
              <w:rPr>
                <w:rFonts w:ascii="Arial" w:eastAsia="Times New Roman" w:hAnsi="Arial" w:cs="Arial"/>
                <w:b/>
                <w:lang w:val="mn-MN"/>
              </w:rPr>
              <w:t>:</w:t>
            </w:r>
            <w:r w:rsidRPr="008D350F">
              <w:rPr>
                <w:rFonts w:ascii="Arial" w:eastAsia="Times New Roman" w:hAnsi="Arial" w:cs="Arial"/>
                <w:bCs/>
                <w:lang w:val="mn-MN"/>
              </w:rPr>
              <w:t xml:space="preserve"> </w:t>
            </w:r>
            <w:r>
              <w:rPr>
                <w:rFonts w:ascii="Arial" w:eastAsia="Times New Roman" w:hAnsi="Arial" w:cs="Arial"/>
                <w:bCs/>
              </w:rPr>
              <w:t>Progress</w:t>
            </w:r>
            <w:r w:rsidRPr="009031E9">
              <w:rPr>
                <w:rFonts w:ascii="Arial" w:hAnsi="Arial" w:cs="Arial"/>
                <w:bCs/>
                <w:lang w:val="mn-MN"/>
              </w:rPr>
              <w:t xml:space="preserve"> of the Sustainable Development Goals</w:t>
            </w:r>
            <w:r w:rsidRPr="008D350F">
              <w:rPr>
                <w:rFonts w:ascii="Arial" w:hAnsi="Arial" w:cs="Arial"/>
                <w:bCs/>
                <w:lang w:val="mn-MN"/>
              </w:rPr>
              <w:t xml:space="preserve"> </w:t>
            </w:r>
          </w:p>
        </w:tc>
      </w:tr>
      <w:tr w:rsidR="00A815E4" w:rsidRPr="008D350F" w14:paraId="31DDA2CA" w14:textId="77777777" w:rsidTr="00C23207">
        <w:trPr>
          <w:trHeight w:val="1236"/>
        </w:trPr>
        <w:tc>
          <w:tcPr>
            <w:tcW w:w="866" w:type="pct"/>
            <w:vAlign w:val="center"/>
          </w:tcPr>
          <w:p w14:paraId="05B912D2"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lang w:val="mn-MN"/>
              </w:rPr>
              <w:t>09:20 – 09:40</w:t>
            </w:r>
          </w:p>
        </w:tc>
        <w:tc>
          <w:tcPr>
            <w:tcW w:w="4134" w:type="pct"/>
            <w:vAlign w:val="center"/>
          </w:tcPr>
          <w:p w14:paraId="2813BF82" w14:textId="77777777" w:rsidR="00A815E4" w:rsidRPr="008D350F" w:rsidRDefault="00A815E4" w:rsidP="00C23207">
            <w:pPr>
              <w:spacing w:after="0" w:line="240" w:lineRule="auto"/>
              <w:jc w:val="both"/>
              <w:rPr>
                <w:rFonts w:ascii="Arial" w:hAnsi="Arial" w:cs="Arial"/>
                <w:b/>
                <w:lang w:val="mn-MN"/>
              </w:rPr>
            </w:pPr>
            <w:r w:rsidRPr="00510AEA">
              <w:rPr>
                <w:rFonts w:ascii="Arial" w:hAnsi="Arial" w:cs="Arial"/>
                <w:b/>
                <w:lang w:val="mn-MN"/>
              </w:rPr>
              <w:t xml:space="preserve">Mongolia for </w:t>
            </w:r>
            <w:r>
              <w:rPr>
                <w:rFonts w:ascii="Arial" w:hAnsi="Arial" w:cs="Arial"/>
                <w:b/>
              </w:rPr>
              <w:t>S</w:t>
            </w:r>
            <w:r w:rsidRPr="00510AEA">
              <w:rPr>
                <w:rFonts w:ascii="Arial" w:hAnsi="Arial" w:cs="Arial"/>
                <w:b/>
                <w:lang w:val="mn-MN"/>
              </w:rPr>
              <w:t xml:space="preserve">ustainable </w:t>
            </w:r>
            <w:r>
              <w:rPr>
                <w:rFonts w:ascii="Arial" w:hAnsi="Arial" w:cs="Arial"/>
                <w:b/>
              </w:rPr>
              <w:t>D</w:t>
            </w:r>
            <w:r w:rsidRPr="00510AEA">
              <w:rPr>
                <w:rFonts w:ascii="Arial" w:hAnsi="Arial" w:cs="Arial"/>
                <w:b/>
                <w:lang w:val="mn-MN"/>
              </w:rPr>
              <w:t>evelopment</w:t>
            </w:r>
            <w:r w:rsidRPr="008D350F">
              <w:rPr>
                <w:rFonts w:ascii="Arial" w:hAnsi="Arial" w:cs="Arial"/>
                <w:b/>
                <w:lang w:val="mn-MN"/>
              </w:rPr>
              <w:t xml:space="preserve"> </w:t>
            </w:r>
          </w:p>
          <w:p w14:paraId="18A6A111" w14:textId="77777777" w:rsidR="00A815E4" w:rsidRPr="008D350F" w:rsidRDefault="00A815E4" w:rsidP="00C23207">
            <w:pPr>
              <w:pStyle w:val="ListParagraph"/>
              <w:numPr>
                <w:ilvl w:val="0"/>
                <w:numId w:val="9"/>
              </w:numPr>
              <w:spacing w:after="0"/>
              <w:jc w:val="both"/>
              <w:rPr>
                <w:rFonts w:ascii="Arial" w:hAnsi="Arial" w:cs="Arial"/>
                <w:iCs/>
                <w:lang w:val="mn-MN"/>
              </w:rPr>
            </w:pPr>
            <w:r>
              <w:rPr>
                <w:rFonts w:ascii="Arial" w:hAnsi="Arial" w:cs="Arial"/>
                <w:iCs/>
              </w:rPr>
              <w:t xml:space="preserve">KHURELBAATAR CHIMED, Deputy Prime Minister and Minister for Economy and Development </w:t>
            </w:r>
          </w:p>
          <w:p w14:paraId="4B7DBD8D" w14:textId="77777777" w:rsidR="00A815E4" w:rsidRPr="008D350F" w:rsidRDefault="00A815E4" w:rsidP="00C23207">
            <w:pPr>
              <w:pStyle w:val="ListParagraph"/>
              <w:numPr>
                <w:ilvl w:val="0"/>
                <w:numId w:val="9"/>
              </w:numPr>
              <w:spacing w:after="0"/>
              <w:jc w:val="both"/>
              <w:rPr>
                <w:rFonts w:ascii="Arial" w:hAnsi="Arial" w:cs="Arial"/>
                <w:iCs/>
                <w:lang w:val="mn-MN"/>
              </w:rPr>
            </w:pPr>
            <w:r>
              <w:rPr>
                <w:rFonts w:ascii="Arial" w:hAnsi="Arial" w:cs="Arial"/>
              </w:rPr>
              <w:t xml:space="preserve">TAPAN MISHRA, UN Resident Coordinator for Mongolia </w:t>
            </w:r>
          </w:p>
        </w:tc>
      </w:tr>
      <w:tr w:rsidR="00A815E4" w:rsidRPr="008D350F" w14:paraId="38CC9C77" w14:textId="77777777" w:rsidTr="00C23207">
        <w:trPr>
          <w:trHeight w:val="698"/>
        </w:trPr>
        <w:tc>
          <w:tcPr>
            <w:tcW w:w="866" w:type="pct"/>
            <w:vAlign w:val="center"/>
          </w:tcPr>
          <w:p w14:paraId="1EBAEDAF"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lang w:val="mn-MN"/>
              </w:rPr>
              <w:t>09:40 – 10:10</w:t>
            </w:r>
          </w:p>
        </w:tc>
        <w:tc>
          <w:tcPr>
            <w:tcW w:w="4134" w:type="pct"/>
            <w:vAlign w:val="center"/>
          </w:tcPr>
          <w:p w14:paraId="043D254D" w14:textId="77777777" w:rsidR="00A815E4" w:rsidRPr="008D350F" w:rsidRDefault="00A815E4" w:rsidP="00C23207">
            <w:pPr>
              <w:spacing w:after="0"/>
              <w:jc w:val="both"/>
              <w:rPr>
                <w:rFonts w:ascii="Arial" w:eastAsia="Times New Roman" w:hAnsi="Arial" w:cs="Arial"/>
                <w:bCs/>
                <w:i/>
                <w:iCs/>
                <w:lang w:val="mn-MN"/>
              </w:rPr>
            </w:pPr>
            <w:r>
              <w:rPr>
                <w:rFonts w:ascii="Arial" w:eastAsia="Times New Roman" w:hAnsi="Arial" w:cs="Arial"/>
                <w:b/>
              </w:rPr>
              <w:t>Main presentation</w:t>
            </w:r>
            <w:r w:rsidRPr="00A17544">
              <w:rPr>
                <w:rFonts w:ascii="Arial" w:eastAsia="Times New Roman" w:hAnsi="Arial" w:cs="Arial"/>
                <w:b/>
                <w:lang w:val="mn-MN"/>
              </w:rPr>
              <w:t xml:space="preserve">: </w:t>
            </w:r>
            <w:r w:rsidRPr="00AE5C12">
              <w:rPr>
                <w:rFonts w:ascii="Arial" w:eastAsia="Times New Roman" w:hAnsi="Arial" w:cs="Arial"/>
                <w:bCs/>
                <w:lang w:val="mn-MN"/>
              </w:rPr>
              <w:t xml:space="preserve">National Commitment </w:t>
            </w:r>
            <w:r>
              <w:rPr>
                <w:rFonts w:ascii="Arial" w:eastAsia="Times New Roman" w:hAnsi="Arial" w:cs="Arial"/>
                <w:bCs/>
              </w:rPr>
              <w:t>for</w:t>
            </w:r>
            <w:r w:rsidRPr="00AE5C12">
              <w:rPr>
                <w:rFonts w:ascii="Arial" w:eastAsia="Times New Roman" w:hAnsi="Arial" w:cs="Arial"/>
                <w:bCs/>
                <w:lang w:val="mn-MN"/>
              </w:rPr>
              <w:t xml:space="preserve"> Sustainable Development Goals</w:t>
            </w:r>
          </w:p>
        </w:tc>
      </w:tr>
      <w:tr w:rsidR="00A815E4" w:rsidRPr="008D350F" w14:paraId="6FB44B2E" w14:textId="77777777" w:rsidTr="00C23207">
        <w:trPr>
          <w:trHeight w:val="698"/>
        </w:trPr>
        <w:tc>
          <w:tcPr>
            <w:tcW w:w="866" w:type="pct"/>
            <w:vAlign w:val="center"/>
          </w:tcPr>
          <w:p w14:paraId="1C9B627D" w14:textId="77777777" w:rsidR="00A815E4" w:rsidRPr="00060F68" w:rsidRDefault="00A815E4" w:rsidP="00C23207">
            <w:pPr>
              <w:spacing w:after="0" w:line="240" w:lineRule="auto"/>
              <w:contextualSpacing/>
              <w:jc w:val="center"/>
              <w:rPr>
                <w:rFonts w:ascii="Arial" w:eastAsia="Times New Roman" w:hAnsi="Arial" w:cs="Arial"/>
              </w:rPr>
            </w:pPr>
            <w:r w:rsidRPr="008D350F">
              <w:rPr>
                <w:rFonts w:ascii="Arial" w:eastAsia="Times New Roman" w:hAnsi="Arial" w:cs="Arial"/>
                <w:lang w:val="mn-MN"/>
              </w:rPr>
              <w:t>10:10 – 10:</w:t>
            </w:r>
            <w:r>
              <w:rPr>
                <w:rFonts w:ascii="Arial" w:eastAsia="Times New Roman" w:hAnsi="Arial" w:cs="Arial"/>
              </w:rPr>
              <w:t>25</w:t>
            </w:r>
          </w:p>
        </w:tc>
        <w:tc>
          <w:tcPr>
            <w:tcW w:w="4134" w:type="pct"/>
            <w:vAlign w:val="center"/>
          </w:tcPr>
          <w:p w14:paraId="101E2669" w14:textId="77777777" w:rsidR="00A815E4" w:rsidRPr="008D350F" w:rsidRDefault="00A815E4" w:rsidP="00C23207">
            <w:pPr>
              <w:spacing w:after="0"/>
              <w:jc w:val="both"/>
              <w:rPr>
                <w:rFonts w:ascii="Arial" w:eastAsia="Times New Roman" w:hAnsi="Arial" w:cs="Arial"/>
                <w:b/>
                <w:i/>
                <w:iCs/>
                <w:lang w:val="mn-MN"/>
              </w:rPr>
            </w:pPr>
            <w:r>
              <w:rPr>
                <w:rFonts w:ascii="Arial" w:hAnsi="Arial" w:cs="Arial"/>
              </w:rPr>
              <w:t xml:space="preserve">Initiatives for Sustainable Development </w:t>
            </w:r>
            <w:r w:rsidRPr="008D350F">
              <w:rPr>
                <w:rFonts w:ascii="Arial" w:hAnsi="Arial" w:cs="Arial"/>
                <w:lang w:val="mn-MN"/>
              </w:rPr>
              <w:t>(</w:t>
            </w:r>
            <w:r>
              <w:rPr>
                <w:rFonts w:ascii="Arial" w:hAnsi="Arial" w:cs="Arial"/>
              </w:rPr>
              <w:t>Private sector</w:t>
            </w:r>
            <w:r w:rsidRPr="008D350F">
              <w:rPr>
                <w:rFonts w:ascii="Arial" w:hAnsi="Arial" w:cs="Arial"/>
                <w:lang w:val="mn-MN"/>
              </w:rPr>
              <w:t>)</w:t>
            </w:r>
          </w:p>
        </w:tc>
      </w:tr>
      <w:tr w:rsidR="00A815E4" w:rsidRPr="008D350F" w14:paraId="67DB3C5A" w14:textId="77777777" w:rsidTr="00C23207">
        <w:trPr>
          <w:trHeight w:val="698"/>
        </w:trPr>
        <w:tc>
          <w:tcPr>
            <w:tcW w:w="866" w:type="pct"/>
            <w:vAlign w:val="center"/>
          </w:tcPr>
          <w:p w14:paraId="72B51706"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lang w:val="mn-MN"/>
              </w:rPr>
              <w:t>10:</w:t>
            </w:r>
            <w:r>
              <w:rPr>
                <w:rFonts w:ascii="Arial" w:eastAsia="Times New Roman" w:hAnsi="Arial" w:cs="Arial"/>
              </w:rPr>
              <w:t>25</w:t>
            </w:r>
            <w:r w:rsidRPr="008D350F">
              <w:rPr>
                <w:rFonts w:ascii="Arial" w:eastAsia="Times New Roman" w:hAnsi="Arial" w:cs="Arial"/>
                <w:lang w:val="mn-MN"/>
              </w:rPr>
              <w:t xml:space="preserve"> – 10:50</w:t>
            </w:r>
          </w:p>
        </w:tc>
        <w:tc>
          <w:tcPr>
            <w:tcW w:w="4134" w:type="pct"/>
            <w:vAlign w:val="center"/>
          </w:tcPr>
          <w:p w14:paraId="28413000" w14:textId="77777777" w:rsidR="00A815E4" w:rsidRPr="006A4164" w:rsidRDefault="00A815E4" w:rsidP="00C23207">
            <w:pPr>
              <w:spacing w:after="0"/>
              <w:jc w:val="both"/>
              <w:rPr>
                <w:rFonts w:ascii="Arial" w:hAnsi="Arial" w:cs="Arial"/>
              </w:rPr>
            </w:pPr>
            <w:r>
              <w:rPr>
                <w:rFonts w:ascii="Arial" w:hAnsi="Arial" w:cs="Arial"/>
              </w:rPr>
              <w:t>Coffee and tea break</w:t>
            </w:r>
          </w:p>
        </w:tc>
      </w:tr>
      <w:tr w:rsidR="00A815E4" w:rsidRPr="008D350F" w14:paraId="4DB2404D" w14:textId="77777777" w:rsidTr="00C23207">
        <w:trPr>
          <w:trHeight w:val="698"/>
        </w:trPr>
        <w:tc>
          <w:tcPr>
            <w:tcW w:w="866" w:type="pct"/>
            <w:vAlign w:val="center"/>
          </w:tcPr>
          <w:p w14:paraId="60A7260E"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lang w:val="mn-MN"/>
              </w:rPr>
              <w:t>10:50 – 11:50</w:t>
            </w:r>
          </w:p>
        </w:tc>
        <w:tc>
          <w:tcPr>
            <w:tcW w:w="4134" w:type="pct"/>
            <w:vAlign w:val="center"/>
          </w:tcPr>
          <w:p w14:paraId="076BCD5E" w14:textId="77777777" w:rsidR="00A815E4" w:rsidRPr="008D350F" w:rsidRDefault="00A815E4" w:rsidP="00C23207">
            <w:pPr>
              <w:spacing w:after="0"/>
              <w:jc w:val="both"/>
              <w:rPr>
                <w:rFonts w:ascii="Arial" w:hAnsi="Arial" w:cs="Arial"/>
                <w:lang w:val="mn-MN"/>
              </w:rPr>
            </w:pPr>
            <w:r>
              <w:rPr>
                <w:rFonts w:ascii="Arial" w:eastAsia="Times New Roman" w:hAnsi="Arial" w:cs="Arial"/>
                <w:b/>
              </w:rPr>
              <w:t>Plenary discussion</w:t>
            </w:r>
            <w:r w:rsidRPr="008D350F">
              <w:rPr>
                <w:rFonts w:ascii="Arial" w:eastAsia="Times New Roman" w:hAnsi="Arial" w:cs="Arial"/>
                <w:b/>
                <w:lang w:val="mn-MN"/>
              </w:rPr>
              <w:t>:</w:t>
            </w:r>
            <w:r w:rsidRPr="008D350F">
              <w:rPr>
                <w:rFonts w:ascii="Arial" w:eastAsia="Times New Roman" w:hAnsi="Arial" w:cs="Arial"/>
                <w:b/>
                <w:i/>
                <w:iCs/>
                <w:lang w:val="mn-MN"/>
              </w:rPr>
              <w:t xml:space="preserve"> </w:t>
            </w:r>
            <w:r w:rsidRPr="00AE5C12">
              <w:rPr>
                <w:rFonts w:ascii="Arial" w:eastAsia="Times New Roman" w:hAnsi="Arial" w:cs="Arial"/>
                <w:bCs/>
                <w:lang w:val="mn-MN"/>
              </w:rPr>
              <w:t xml:space="preserve">National Commitment </w:t>
            </w:r>
            <w:r>
              <w:rPr>
                <w:rFonts w:ascii="Arial" w:eastAsia="Times New Roman" w:hAnsi="Arial" w:cs="Arial"/>
                <w:bCs/>
              </w:rPr>
              <w:t>for</w:t>
            </w:r>
            <w:r w:rsidRPr="00AE5C12">
              <w:rPr>
                <w:rFonts w:ascii="Arial" w:eastAsia="Times New Roman" w:hAnsi="Arial" w:cs="Arial"/>
                <w:bCs/>
                <w:lang w:val="mn-MN"/>
              </w:rPr>
              <w:t xml:space="preserve"> Sustainable Development Goals</w:t>
            </w:r>
          </w:p>
        </w:tc>
      </w:tr>
      <w:tr w:rsidR="00A815E4" w:rsidRPr="008D350F" w14:paraId="2257D271" w14:textId="77777777" w:rsidTr="00C23207">
        <w:trPr>
          <w:trHeight w:val="416"/>
        </w:trPr>
        <w:tc>
          <w:tcPr>
            <w:tcW w:w="866" w:type="pct"/>
            <w:vAlign w:val="center"/>
          </w:tcPr>
          <w:p w14:paraId="4A59A9CE" w14:textId="77777777" w:rsidR="00A815E4" w:rsidRPr="008D350F" w:rsidRDefault="00A815E4" w:rsidP="00C23207">
            <w:pPr>
              <w:spacing w:after="0" w:line="240" w:lineRule="auto"/>
              <w:contextualSpacing/>
              <w:jc w:val="center"/>
              <w:rPr>
                <w:rFonts w:ascii="Arial" w:eastAsia="Times New Roman" w:hAnsi="Arial" w:cs="Arial"/>
                <w:lang w:val="mn-MN"/>
              </w:rPr>
            </w:pPr>
            <w:r w:rsidRPr="008D350F">
              <w:rPr>
                <w:rFonts w:ascii="Arial" w:eastAsia="Times New Roman" w:hAnsi="Arial" w:cs="Arial"/>
                <w:color w:val="000000" w:themeColor="text1"/>
                <w:lang w:val="mn-MN"/>
              </w:rPr>
              <w:t>11:50 – 12:00</w:t>
            </w:r>
          </w:p>
        </w:tc>
        <w:tc>
          <w:tcPr>
            <w:tcW w:w="4134" w:type="pct"/>
            <w:vAlign w:val="center"/>
          </w:tcPr>
          <w:p w14:paraId="6CD429E3" w14:textId="77777777" w:rsidR="00A815E4" w:rsidRPr="003E2525" w:rsidRDefault="00A815E4" w:rsidP="00C23207">
            <w:pPr>
              <w:spacing w:after="0" w:line="240" w:lineRule="auto"/>
              <w:jc w:val="both"/>
              <w:rPr>
                <w:rFonts w:ascii="Arial" w:hAnsi="Arial" w:cs="Arial"/>
                <w:b/>
                <w:i/>
                <w:iCs/>
              </w:rPr>
            </w:pPr>
            <w:r>
              <w:rPr>
                <w:rFonts w:ascii="Arial" w:hAnsi="Arial" w:cs="Arial"/>
                <w:b/>
                <w:i/>
                <w:iCs/>
              </w:rPr>
              <w:t>Closing remark</w:t>
            </w:r>
          </w:p>
        </w:tc>
      </w:tr>
    </w:tbl>
    <w:p w14:paraId="3EF8EB9D" w14:textId="43B01B0D" w:rsidR="00D22770" w:rsidRDefault="00D22770" w:rsidP="002433F6">
      <w:pPr>
        <w:jc w:val="both"/>
      </w:pPr>
    </w:p>
    <w:sectPr w:rsidR="00D22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A18"/>
    <w:multiLevelType w:val="hybridMultilevel"/>
    <w:tmpl w:val="2042E036"/>
    <w:lvl w:ilvl="0" w:tplc="1D386836">
      <w:start w:val="1"/>
      <w:numFmt w:val="bullet"/>
      <w:lvlText w:val="-"/>
      <w:lvlJc w:val="left"/>
      <w:pPr>
        <w:tabs>
          <w:tab w:val="num" w:pos="720"/>
        </w:tabs>
        <w:ind w:left="720" w:hanging="360"/>
      </w:pPr>
      <w:rPr>
        <w:rFonts w:ascii="Arial" w:hAnsi="Arial" w:hint="default"/>
      </w:rPr>
    </w:lvl>
    <w:lvl w:ilvl="1" w:tplc="6EC8900A" w:tentative="1">
      <w:start w:val="1"/>
      <w:numFmt w:val="bullet"/>
      <w:lvlText w:val="-"/>
      <w:lvlJc w:val="left"/>
      <w:pPr>
        <w:tabs>
          <w:tab w:val="num" w:pos="1440"/>
        </w:tabs>
        <w:ind w:left="1440" w:hanging="360"/>
      </w:pPr>
      <w:rPr>
        <w:rFonts w:ascii="Arial" w:hAnsi="Arial" w:hint="default"/>
      </w:rPr>
    </w:lvl>
    <w:lvl w:ilvl="2" w:tplc="771AC562" w:tentative="1">
      <w:start w:val="1"/>
      <w:numFmt w:val="bullet"/>
      <w:lvlText w:val="-"/>
      <w:lvlJc w:val="left"/>
      <w:pPr>
        <w:tabs>
          <w:tab w:val="num" w:pos="2160"/>
        </w:tabs>
        <w:ind w:left="2160" w:hanging="360"/>
      </w:pPr>
      <w:rPr>
        <w:rFonts w:ascii="Arial" w:hAnsi="Arial" w:hint="default"/>
      </w:rPr>
    </w:lvl>
    <w:lvl w:ilvl="3" w:tplc="EFA2D220" w:tentative="1">
      <w:start w:val="1"/>
      <w:numFmt w:val="bullet"/>
      <w:lvlText w:val="-"/>
      <w:lvlJc w:val="left"/>
      <w:pPr>
        <w:tabs>
          <w:tab w:val="num" w:pos="2880"/>
        </w:tabs>
        <w:ind w:left="2880" w:hanging="360"/>
      </w:pPr>
      <w:rPr>
        <w:rFonts w:ascii="Arial" w:hAnsi="Arial" w:hint="default"/>
      </w:rPr>
    </w:lvl>
    <w:lvl w:ilvl="4" w:tplc="A2425E24" w:tentative="1">
      <w:start w:val="1"/>
      <w:numFmt w:val="bullet"/>
      <w:lvlText w:val="-"/>
      <w:lvlJc w:val="left"/>
      <w:pPr>
        <w:tabs>
          <w:tab w:val="num" w:pos="3600"/>
        </w:tabs>
        <w:ind w:left="3600" w:hanging="360"/>
      </w:pPr>
      <w:rPr>
        <w:rFonts w:ascii="Arial" w:hAnsi="Arial" w:hint="default"/>
      </w:rPr>
    </w:lvl>
    <w:lvl w:ilvl="5" w:tplc="029A2304" w:tentative="1">
      <w:start w:val="1"/>
      <w:numFmt w:val="bullet"/>
      <w:lvlText w:val="-"/>
      <w:lvlJc w:val="left"/>
      <w:pPr>
        <w:tabs>
          <w:tab w:val="num" w:pos="4320"/>
        </w:tabs>
        <w:ind w:left="4320" w:hanging="360"/>
      </w:pPr>
      <w:rPr>
        <w:rFonts w:ascii="Arial" w:hAnsi="Arial" w:hint="default"/>
      </w:rPr>
    </w:lvl>
    <w:lvl w:ilvl="6" w:tplc="CE006EB2" w:tentative="1">
      <w:start w:val="1"/>
      <w:numFmt w:val="bullet"/>
      <w:lvlText w:val="-"/>
      <w:lvlJc w:val="left"/>
      <w:pPr>
        <w:tabs>
          <w:tab w:val="num" w:pos="5040"/>
        </w:tabs>
        <w:ind w:left="5040" w:hanging="360"/>
      </w:pPr>
      <w:rPr>
        <w:rFonts w:ascii="Arial" w:hAnsi="Arial" w:hint="default"/>
      </w:rPr>
    </w:lvl>
    <w:lvl w:ilvl="7" w:tplc="FC40EE40" w:tentative="1">
      <w:start w:val="1"/>
      <w:numFmt w:val="bullet"/>
      <w:lvlText w:val="-"/>
      <w:lvlJc w:val="left"/>
      <w:pPr>
        <w:tabs>
          <w:tab w:val="num" w:pos="5760"/>
        </w:tabs>
        <w:ind w:left="5760" w:hanging="360"/>
      </w:pPr>
      <w:rPr>
        <w:rFonts w:ascii="Arial" w:hAnsi="Arial" w:hint="default"/>
      </w:rPr>
    </w:lvl>
    <w:lvl w:ilvl="8" w:tplc="B01818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F6A93"/>
    <w:multiLevelType w:val="hybridMultilevel"/>
    <w:tmpl w:val="AE962CD0"/>
    <w:lvl w:ilvl="0" w:tplc="8D9ADE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4ABD"/>
    <w:multiLevelType w:val="hybridMultilevel"/>
    <w:tmpl w:val="E7A437E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5F1597C"/>
    <w:multiLevelType w:val="hybridMultilevel"/>
    <w:tmpl w:val="4ABE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047DF"/>
    <w:multiLevelType w:val="hybridMultilevel"/>
    <w:tmpl w:val="CED2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3214E"/>
    <w:multiLevelType w:val="hybridMultilevel"/>
    <w:tmpl w:val="A77A5C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37EB9"/>
    <w:multiLevelType w:val="hybridMultilevel"/>
    <w:tmpl w:val="B9068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56FE1"/>
    <w:multiLevelType w:val="hybridMultilevel"/>
    <w:tmpl w:val="9AECD756"/>
    <w:lvl w:ilvl="0" w:tplc="86865362">
      <w:start w:val="1"/>
      <w:numFmt w:val="bullet"/>
      <w:lvlText w:val="-"/>
      <w:lvlJc w:val="left"/>
      <w:pPr>
        <w:tabs>
          <w:tab w:val="num" w:pos="720"/>
        </w:tabs>
        <w:ind w:left="720" w:hanging="360"/>
      </w:pPr>
      <w:rPr>
        <w:rFonts w:ascii="Arial" w:hAnsi="Arial" w:hint="default"/>
      </w:rPr>
    </w:lvl>
    <w:lvl w:ilvl="1" w:tplc="2FA672FA" w:tentative="1">
      <w:start w:val="1"/>
      <w:numFmt w:val="bullet"/>
      <w:lvlText w:val="-"/>
      <w:lvlJc w:val="left"/>
      <w:pPr>
        <w:tabs>
          <w:tab w:val="num" w:pos="1440"/>
        </w:tabs>
        <w:ind w:left="1440" w:hanging="360"/>
      </w:pPr>
      <w:rPr>
        <w:rFonts w:ascii="Arial" w:hAnsi="Arial" w:hint="default"/>
      </w:rPr>
    </w:lvl>
    <w:lvl w:ilvl="2" w:tplc="4D10DD8E" w:tentative="1">
      <w:start w:val="1"/>
      <w:numFmt w:val="bullet"/>
      <w:lvlText w:val="-"/>
      <w:lvlJc w:val="left"/>
      <w:pPr>
        <w:tabs>
          <w:tab w:val="num" w:pos="2160"/>
        </w:tabs>
        <w:ind w:left="2160" w:hanging="360"/>
      </w:pPr>
      <w:rPr>
        <w:rFonts w:ascii="Arial" w:hAnsi="Arial" w:hint="default"/>
      </w:rPr>
    </w:lvl>
    <w:lvl w:ilvl="3" w:tplc="499404CA" w:tentative="1">
      <w:start w:val="1"/>
      <w:numFmt w:val="bullet"/>
      <w:lvlText w:val="-"/>
      <w:lvlJc w:val="left"/>
      <w:pPr>
        <w:tabs>
          <w:tab w:val="num" w:pos="2880"/>
        </w:tabs>
        <w:ind w:left="2880" w:hanging="360"/>
      </w:pPr>
      <w:rPr>
        <w:rFonts w:ascii="Arial" w:hAnsi="Arial" w:hint="default"/>
      </w:rPr>
    </w:lvl>
    <w:lvl w:ilvl="4" w:tplc="0554E3BE" w:tentative="1">
      <w:start w:val="1"/>
      <w:numFmt w:val="bullet"/>
      <w:lvlText w:val="-"/>
      <w:lvlJc w:val="left"/>
      <w:pPr>
        <w:tabs>
          <w:tab w:val="num" w:pos="3600"/>
        </w:tabs>
        <w:ind w:left="3600" w:hanging="360"/>
      </w:pPr>
      <w:rPr>
        <w:rFonts w:ascii="Arial" w:hAnsi="Arial" w:hint="default"/>
      </w:rPr>
    </w:lvl>
    <w:lvl w:ilvl="5" w:tplc="881E7A28" w:tentative="1">
      <w:start w:val="1"/>
      <w:numFmt w:val="bullet"/>
      <w:lvlText w:val="-"/>
      <w:lvlJc w:val="left"/>
      <w:pPr>
        <w:tabs>
          <w:tab w:val="num" w:pos="4320"/>
        </w:tabs>
        <w:ind w:left="4320" w:hanging="360"/>
      </w:pPr>
      <w:rPr>
        <w:rFonts w:ascii="Arial" w:hAnsi="Arial" w:hint="default"/>
      </w:rPr>
    </w:lvl>
    <w:lvl w:ilvl="6" w:tplc="BAAE488A" w:tentative="1">
      <w:start w:val="1"/>
      <w:numFmt w:val="bullet"/>
      <w:lvlText w:val="-"/>
      <w:lvlJc w:val="left"/>
      <w:pPr>
        <w:tabs>
          <w:tab w:val="num" w:pos="5040"/>
        </w:tabs>
        <w:ind w:left="5040" w:hanging="360"/>
      </w:pPr>
      <w:rPr>
        <w:rFonts w:ascii="Arial" w:hAnsi="Arial" w:hint="default"/>
      </w:rPr>
    </w:lvl>
    <w:lvl w:ilvl="7" w:tplc="551C62D0" w:tentative="1">
      <w:start w:val="1"/>
      <w:numFmt w:val="bullet"/>
      <w:lvlText w:val="-"/>
      <w:lvlJc w:val="left"/>
      <w:pPr>
        <w:tabs>
          <w:tab w:val="num" w:pos="5760"/>
        </w:tabs>
        <w:ind w:left="5760" w:hanging="360"/>
      </w:pPr>
      <w:rPr>
        <w:rFonts w:ascii="Arial" w:hAnsi="Arial" w:hint="default"/>
      </w:rPr>
    </w:lvl>
    <w:lvl w:ilvl="8" w:tplc="4E708C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BD5314"/>
    <w:multiLevelType w:val="hybridMultilevel"/>
    <w:tmpl w:val="3230D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81095">
    <w:abstractNumId w:val="4"/>
  </w:num>
  <w:num w:numId="2" w16cid:durableId="687676565">
    <w:abstractNumId w:val="3"/>
  </w:num>
  <w:num w:numId="3" w16cid:durableId="1857426215">
    <w:abstractNumId w:val="6"/>
  </w:num>
  <w:num w:numId="4" w16cid:durableId="808596181">
    <w:abstractNumId w:val="5"/>
  </w:num>
  <w:num w:numId="5" w16cid:durableId="1289895015">
    <w:abstractNumId w:val="2"/>
  </w:num>
  <w:num w:numId="6" w16cid:durableId="756439429">
    <w:abstractNumId w:val="0"/>
  </w:num>
  <w:num w:numId="7" w16cid:durableId="451900362">
    <w:abstractNumId w:val="7"/>
  </w:num>
  <w:num w:numId="8" w16cid:durableId="950823224">
    <w:abstractNumId w:val="8"/>
  </w:num>
  <w:num w:numId="9" w16cid:durableId="205862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8A"/>
    <w:rsid w:val="00003411"/>
    <w:rsid w:val="0003035F"/>
    <w:rsid w:val="000813B8"/>
    <w:rsid w:val="000872ED"/>
    <w:rsid w:val="00097A3B"/>
    <w:rsid w:val="000A1F18"/>
    <w:rsid w:val="000B065A"/>
    <w:rsid w:val="000B37E2"/>
    <w:rsid w:val="000C4CE2"/>
    <w:rsid w:val="000C5DD5"/>
    <w:rsid w:val="000D5066"/>
    <w:rsid w:val="000E23D0"/>
    <w:rsid w:val="001038AF"/>
    <w:rsid w:val="00107E13"/>
    <w:rsid w:val="00125122"/>
    <w:rsid w:val="001262DE"/>
    <w:rsid w:val="00164282"/>
    <w:rsid w:val="00171130"/>
    <w:rsid w:val="00175820"/>
    <w:rsid w:val="0018007B"/>
    <w:rsid w:val="001C2C66"/>
    <w:rsid w:val="001C2D07"/>
    <w:rsid w:val="001C4D23"/>
    <w:rsid w:val="001E34B9"/>
    <w:rsid w:val="001E5905"/>
    <w:rsid w:val="001E7254"/>
    <w:rsid w:val="002058E8"/>
    <w:rsid w:val="002133A3"/>
    <w:rsid w:val="00232EB8"/>
    <w:rsid w:val="002433F6"/>
    <w:rsid w:val="00245DA8"/>
    <w:rsid w:val="00250647"/>
    <w:rsid w:val="00272B30"/>
    <w:rsid w:val="00283225"/>
    <w:rsid w:val="002B012F"/>
    <w:rsid w:val="002B59B0"/>
    <w:rsid w:val="002C4537"/>
    <w:rsid w:val="002D6A5C"/>
    <w:rsid w:val="002D729D"/>
    <w:rsid w:val="002E12EC"/>
    <w:rsid w:val="002E62F3"/>
    <w:rsid w:val="002F0836"/>
    <w:rsid w:val="002F2F2C"/>
    <w:rsid w:val="002F3E1D"/>
    <w:rsid w:val="003017C1"/>
    <w:rsid w:val="00302BEB"/>
    <w:rsid w:val="003040CE"/>
    <w:rsid w:val="00321030"/>
    <w:rsid w:val="0034361C"/>
    <w:rsid w:val="003442E7"/>
    <w:rsid w:val="003471F5"/>
    <w:rsid w:val="003517EA"/>
    <w:rsid w:val="003535CB"/>
    <w:rsid w:val="003614C1"/>
    <w:rsid w:val="003624C3"/>
    <w:rsid w:val="003A2531"/>
    <w:rsid w:val="003A2E6C"/>
    <w:rsid w:val="003A3F7C"/>
    <w:rsid w:val="003A4A0A"/>
    <w:rsid w:val="003A7AE6"/>
    <w:rsid w:val="003B6212"/>
    <w:rsid w:val="003C2D90"/>
    <w:rsid w:val="003C56F8"/>
    <w:rsid w:val="003D57B6"/>
    <w:rsid w:val="003E7C35"/>
    <w:rsid w:val="003F0DBD"/>
    <w:rsid w:val="004004D2"/>
    <w:rsid w:val="00401774"/>
    <w:rsid w:val="00401C7E"/>
    <w:rsid w:val="004069A4"/>
    <w:rsid w:val="0042202E"/>
    <w:rsid w:val="004475B9"/>
    <w:rsid w:val="0046262A"/>
    <w:rsid w:val="00487F44"/>
    <w:rsid w:val="00495E7F"/>
    <w:rsid w:val="004A557F"/>
    <w:rsid w:val="004C1D87"/>
    <w:rsid w:val="004C24A1"/>
    <w:rsid w:val="004D181E"/>
    <w:rsid w:val="004E566F"/>
    <w:rsid w:val="004F2C5F"/>
    <w:rsid w:val="004F6131"/>
    <w:rsid w:val="004F7EC0"/>
    <w:rsid w:val="00510386"/>
    <w:rsid w:val="005110EA"/>
    <w:rsid w:val="00513066"/>
    <w:rsid w:val="00523305"/>
    <w:rsid w:val="00523A8C"/>
    <w:rsid w:val="00525AD1"/>
    <w:rsid w:val="00525E64"/>
    <w:rsid w:val="005322A2"/>
    <w:rsid w:val="00532DC2"/>
    <w:rsid w:val="0054349F"/>
    <w:rsid w:val="00550FD4"/>
    <w:rsid w:val="005514A3"/>
    <w:rsid w:val="00554D58"/>
    <w:rsid w:val="00584E25"/>
    <w:rsid w:val="00586113"/>
    <w:rsid w:val="0059533C"/>
    <w:rsid w:val="005A0E79"/>
    <w:rsid w:val="005A7142"/>
    <w:rsid w:val="005B66CB"/>
    <w:rsid w:val="005C1F95"/>
    <w:rsid w:val="005E14D4"/>
    <w:rsid w:val="005E21A5"/>
    <w:rsid w:val="005E5EA9"/>
    <w:rsid w:val="005F5E5D"/>
    <w:rsid w:val="00610B9C"/>
    <w:rsid w:val="00621811"/>
    <w:rsid w:val="0063438D"/>
    <w:rsid w:val="0064002F"/>
    <w:rsid w:val="0064154B"/>
    <w:rsid w:val="0064223E"/>
    <w:rsid w:val="00646C06"/>
    <w:rsid w:val="00653009"/>
    <w:rsid w:val="006647AC"/>
    <w:rsid w:val="006653F0"/>
    <w:rsid w:val="00666AF5"/>
    <w:rsid w:val="006761A4"/>
    <w:rsid w:val="00676DEB"/>
    <w:rsid w:val="006A5EC9"/>
    <w:rsid w:val="006D0087"/>
    <w:rsid w:val="006D2ADF"/>
    <w:rsid w:val="006D4986"/>
    <w:rsid w:val="006E3E51"/>
    <w:rsid w:val="006E4E15"/>
    <w:rsid w:val="006F79FE"/>
    <w:rsid w:val="0072622D"/>
    <w:rsid w:val="00747DAB"/>
    <w:rsid w:val="00755665"/>
    <w:rsid w:val="007576E6"/>
    <w:rsid w:val="0076033B"/>
    <w:rsid w:val="00765011"/>
    <w:rsid w:val="00775C88"/>
    <w:rsid w:val="00776A17"/>
    <w:rsid w:val="00796967"/>
    <w:rsid w:val="007A76D4"/>
    <w:rsid w:val="007D2BD7"/>
    <w:rsid w:val="007D7EAF"/>
    <w:rsid w:val="007E007B"/>
    <w:rsid w:val="007E0544"/>
    <w:rsid w:val="00836210"/>
    <w:rsid w:val="00880266"/>
    <w:rsid w:val="00887168"/>
    <w:rsid w:val="008B10EC"/>
    <w:rsid w:val="008D5EE0"/>
    <w:rsid w:val="00901AEC"/>
    <w:rsid w:val="00901BD6"/>
    <w:rsid w:val="009264FA"/>
    <w:rsid w:val="00926D05"/>
    <w:rsid w:val="00944A54"/>
    <w:rsid w:val="0094693F"/>
    <w:rsid w:val="00950EF4"/>
    <w:rsid w:val="00953789"/>
    <w:rsid w:val="00956806"/>
    <w:rsid w:val="00967A7F"/>
    <w:rsid w:val="00976830"/>
    <w:rsid w:val="009846C2"/>
    <w:rsid w:val="0098771F"/>
    <w:rsid w:val="00990846"/>
    <w:rsid w:val="009A1D8F"/>
    <w:rsid w:val="009A319D"/>
    <w:rsid w:val="009A5383"/>
    <w:rsid w:val="009B0FAD"/>
    <w:rsid w:val="009B3D3C"/>
    <w:rsid w:val="009B7FF8"/>
    <w:rsid w:val="009D7E8E"/>
    <w:rsid w:val="009E52A7"/>
    <w:rsid w:val="009F344C"/>
    <w:rsid w:val="00A11E9D"/>
    <w:rsid w:val="00A35247"/>
    <w:rsid w:val="00A40812"/>
    <w:rsid w:val="00A5183E"/>
    <w:rsid w:val="00A53904"/>
    <w:rsid w:val="00A815E4"/>
    <w:rsid w:val="00A907CF"/>
    <w:rsid w:val="00A92728"/>
    <w:rsid w:val="00AC3B3E"/>
    <w:rsid w:val="00AC6F6B"/>
    <w:rsid w:val="00AF7D32"/>
    <w:rsid w:val="00B13404"/>
    <w:rsid w:val="00B264C8"/>
    <w:rsid w:val="00B40904"/>
    <w:rsid w:val="00B41DF1"/>
    <w:rsid w:val="00B55264"/>
    <w:rsid w:val="00B842BA"/>
    <w:rsid w:val="00B952C1"/>
    <w:rsid w:val="00BA13FF"/>
    <w:rsid w:val="00BA22AC"/>
    <w:rsid w:val="00BA5DF1"/>
    <w:rsid w:val="00BB112E"/>
    <w:rsid w:val="00BB3BDE"/>
    <w:rsid w:val="00BC1918"/>
    <w:rsid w:val="00BD2F99"/>
    <w:rsid w:val="00BF39A2"/>
    <w:rsid w:val="00C07338"/>
    <w:rsid w:val="00C07649"/>
    <w:rsid w:val="00C17815"/>
    <w:rsid w:val="00C47B0E"/>
    <w:rsid w:val="00C64796"/>
    <w:rsid w:val="00C84D34"/>
    <w:rsid w:val="00C93D7F"/>
    <w:rsid w:val="00CA7063"/>
    <w:rsid w:val="00CD2C9C"/>
    <w:rsid w:val="00CE0CE5"/>
    <w:rsid w:val="00CE2376"/>
    <w:rsid w:val="00CF3463"/>
    <w:rsid w:val="00D00D76"/>
    <w:rsid w:val="00D04148"/>
    <w:rsid w:val="00D05DCD"/>
    <w:rsid w:val="00D22770"/>
    <w:rsid w:val="00D24CC0"/>
    <w:rsid w:val="00D4143E"/>
    <w:rsid w:val="00D475BA"/>
    <w:rsid w:val="00D569C2"/>
    <w:rsid w:val="00D654F9"/>
    <w:rsid w:val="00D9786E"/>
    <w:rsid w:val="00DA2097"/>
    <w:rsid w:val="00DB7932"/>
    <w:rsid w:val="00DB7AA0"/>
    <w:rsid w:val="00DD3622"/>
    <w:rsid w:val="00DD53A3"/>
    <w:rsid w:val="00DE7BBB"/>
    <w:rsid w:val="00DF6C81"/>
    <w:rsid w:val="00E02571"/>
    <w:rsid w:val="00E03B1E"/>
    <w:rsid w:val="00E047EE"/>
    <w:rsid w:val="00E07223"/>
    <w:rsid w:val="00E1303D"/>
    <w:rsid w:val="00E144B1"/>
    <w:rsid w:val="00E469B4"/>
    <w:rsid w:val="00E96CDC"/>
    <w:rsid w:val="00EB19BE"/>
    <w:rsid w:val="00EB1E36"/>
    <w:rsid w:val="00EB43EC"/>
    <w:rsid w:val="00ED0BF7"/>
    <w:rsid w:val="00ED0D5D"/>
    <w:rsid w:val="00EE2C8A"/>
    <w:rsid w:val="00EF3E50"/>
    <w:rsid w:val="00F0599C"/>
    <w:rsid w:val="00F05D1D"/>
    <w:rsid w:val="00F1212E"/>
    <w:rsid w:val="00F268AE"/>
    <w:rsid w:val="00F32351"/>
    <w:rsid w:val="00F36C5A"/>
    <w:rsid w:val="00F50755"/>
    <w:rsid w:val="00F66824"/>
    <w:rsid w:val="00F94E44"/>
    <w:rsid w:val="00FA3BC7"/>
    <w:rsid w:val="00FB1591"/>
    <w:rsid w:val="00FB1C8B"/>
    <w:rsid w:val="00FB26A0"/>
    <w:rsid w:val="00FB7F87"/>
    <w:rsid w:val="00FC5743"/>
    <w:rsid w:val="00FF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9BAF"/>
  <w15:chartTrackingRefBased/>
  <w15:docId w15:val="{55831AF6-A7BB-4CF0-9479-11BE4C37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IBL List Paragraph,List Paragraph (numbered (a)),Main numbered paragraph,References"/>
    <w:basedOn w:val="Normal"/>
    <w:link w:val="ListParagraphChar"/>
    <w:uiPriority w:val="34"/>
    <w:qFormat/>
    <w:rsid w:val="00550FD4"/>
    <w:pPr>
      <w:ind w:left="720"/>
      <w:contextualSpacing/>
    </w:pPr>
  </w:style>
  <w:style w:type="character" w:styleId="Hyperlink">
    <w:name w:val="Hyperlink"/>
    <w:basedOn w:val="DefaultParagraphFont"/>
    <w:uiPriority w:val="99"/>
    <w:unhideWhenUsed/>
    <w:rsid w:val="00FB1C8B"/>
    <w:rPr>
      <w:color w:val="0563C1" w:themeColor="hyperlink"/>
      <w:u w:val="single"/>
    </w:rPr>
  </w:style>
  <w:style w:type="character" w:styleId="UnresolvedMention">
    <w:name w:val="Unresolved Mention"/>
    <w:basedOn w:val="DefaultParagraphFont"/>
    <w:uiPriority w:val="99"/>
    <w:semiHidden/>
    <w:unhideWhenUsed/>
    <w:rsid w:val="00FB1C8B"/>
    <w:rPr>
      <w:color w:val="605E5C"/>
      <w:shd w:val="clear" w:color="auto" w:fill="E1DFDD"/>
    </w:rPr>
  </w:style>
  <w:style w:type="paragraph" w:styleId="BodyText">
    <w:name w:val="Body Text"/>
    <w:link w:val="BodyTextChar"/>
    <w:rsid w:val="006647AC"/>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kern w:val="0"/>
      <w:sz w:val="20"/>
      <w:szCs w:val="20"/>
      <w:u w:color="000000"/>
      <w:bdr w:val="nil"/>
      <w:lang w:eastAsia="en-GB"/>
      <w14:ligatures w14:val="none"/>
    </w:rPr>
  </w:style>
  <w:style w:type="character" w:customStyle="1" w:styleId="BodyTextChar">
    <w:name w:val="Body Text Char"/>
    <w:basedOn w:val="DefaultParagraphFont"/>
    <w:link w:val="BodyText"/>
    <w:rsid w:val="006647AC"/>
    <w:rPr>
      <w:rFonts w:ascii="Century Gothic" w:eastAsia="Arial Unicode MS" w:hAnsi="Century Gothic" w:cs="Arial Unicode MS"/>
      <w:color w:val="000000"/>
      <w:kern w:val="0"/>
      <w:sz w:val="20"/>
      <w:szCs w:val="20"/>
      <w:u w:color="000000"/>
      <w:bdr w:val="nil"/>
      <w:lang w:eastAsia="en-GB"/>
      <w14:ligatures w14:val="none"/>
    </w:rPr>
  </w:style>
  <w:style w:type="character" w:customStyle="1" w:styleId="ListParagraphChar">
    <w:name w:val="List Paragraph Char"/>
    <w:aliases w:val="Bullets Char,List Paragraph1 Char,IBL List Paragraph Char,List Paragraph (numbered (a)) Char,Main numbered paragraph Char,References Char"/>
    <w:link w:val="ListParagraph"/>
    <w:uiPriority w:val="34"/>
    <w:locked/>
    <w:rsid w:val="0066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92933">
      <w:bodyDiv w:val="1"/>
      <w:marLeft w:val="0"/>
      <w:marRight w:val="0"/>
      <w:marTop w:val="0"/>
      <w:marBottom w:val="0"/>
      <w:divBdr>
        <w:top w:val="none" w:sz="0" w:space="0" w:color="auto"/>
        <w:left w:val="none" w:sz="0" w:space="0" w:color="auto"/>
        <w:bottom w:val="none" w:sz="0" w:space="0" w:color="auto"/>
        <w:right w:val="none" w:sz="0" w:space="0" w:color="auto"/>
      </w:divBdr>
      <w:divsChild>
        <w:div w:id="597641295">
          <w:marLeft w:val="446"/>
          <w:marRight w:val="0"/>
          <w:marTop w:val="0"/>
          <w:marBottom w:val="0"/>
          <w:divBdr>
            <w:top w:val="none" w:sz="0" w:space="0" w:color="auto"/>
            <w:left w:val="none" w:sz="0" w:space="0" w:color="auto"/>
            <w:bottom w:val="none" w:sz="0" w:space="0" w:color="auto"/>
            <w:right w:val="none" w:sz="0" w:space="0" w:color="auto"/>
          </w:divBdr>
        </w:div>
        <w:div w:id="86511662">
          <w:marLeft w:val="446"/>
          <w:marRight w:val="0"/>
          <w:marTop w:val="0"/>
          <w:marBottom w:val="0"/>
          <w:divBdr>
            <w:top w:val="none" w:sz="0" w:space="0" w:color="auto"/>
            <w:left w:val="none" w:sz="0" w:space="0" w:color="auto"/>
            <w:bottom w:val="none" w:sz="0" w:space="0" w:color="auto"/>
            <w:right w:val="none" w:sz="0" w:space="0" w:color="auto"/>
          </w:divBdr>
        </w:div>
        <w:div w:id="89201499">
          <w:marLeft w:val="446"/>
          <w:marRight w:val="0"/>
          <w:marTop w:val="0"/>
          <w:marBottom w:val="0"/>
          <w:divBdr>
            <w:top w:val="none" w:sz="0" w:space="0" w:color="auto"/>
            <w:left w:val="none" w:sz="0" w:space="0" w:color="auto"/>
            <w:bottom w:val="none" w:sz="0" w:space="0" w:color="auto"/>
            <w:right w:val="none" w:sz="0" w:space="0" w:color="auto"/>
          </w:divBdr>
        </w:div>
        <w:div w:id="1235041874">
          <w:marLeft w:val="446"/>
          <w:marRight w:val="0"/>
          <w:marTop w:val="0"/>
          <w:marBottom w:val="0"/>
          <w:divBdr>
            <w:top w:val="none" w:sz="0" w:space="0" w:color="auto"/>
            <w:left w:val="none" w:sz="0" w:space="0" w:color="auto"/>
            <w:bottom w:val="none" w:sz="0" w:space="0" w:color="auto"/>
            <w:right w:val="none" w:sz="0" w:space="0" w:color="auto"/>
          </w:divBdr>
        </w:div>
        <w:div w:id="223033299">
          <w:marLeft w:val="446"/>
          <w:marRight w:val="0"/>
          <w:marTop w:val="0"/>
          <w:marBottom w:val="0"/>
          <w:divBdr>
            <w:top w:val="none" w:sz="0" w:space="0" w:color="auto"/>
            <w:left w:val="none" w:sz="0" w:space="0" w:color="auto"/>
            <w:bottom w:val="none" w:sz="0" w:space="0" w:color="auto"/>
            <w:right w:val="none" w:sz="0" w:space="0" w:color="auto"/>
          </w:divBdr>
        </w:div>
      </w:divsChild>
    </w:div>
    <w:div w:id="20887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khmunkh.o@med.gov.mn" TargetMode="External"/><Relationship Id="rId13" Type="http://schemas.openxmlformats.org/officeDocument/2006/relationships/hyperlink" Target="mailto:naran.otgonbayar@un.org" TargetMode="External"/><Relationship Id="rId3" Type="http://schemas.openxmlformats.org/officeDocument/2006/relationships/settings" Target="settings.xml"/><Relationship Id="rId7" Type="http://schemas.openxmlformats.org/officeDocument/2006/relationships/hyperlink" Target="mailto:mungunsukh.b@med.gov.mn" TargetMode="External"/><Relationship Id="rId12" Type="http://schemas.openxmlformats.org/officeDocument/2006/relationships/hyperlink" Target="mailto:soyolmaa.dolgor@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chinluvsan.l@med.gov.mn" TargetMode="External"/><Relationship Id="rId11" Type="http://schemas.openxmlformats.org/officeDocument/2006/relationships/hyperlink" Target="mailto:doljinsuren.jambal@un.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dep06-5@mfa.gov.mn" TargetMode="External"/><Relationship Id="rId4" Type="http://schemas.openxmlformats.org/officeDocument/2006/relationships/webSettings" Target="webSettings.xml"/><Relationship Id="rId9" Type="http://schemas.openxmlformats.org/officeDocument/2006/relationships/hyperlink" Target="mailto:dep06-1@mfa.gov.m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Doljinsuren Jambal</dc:creator>
  <cp:keywords/>
  <dc:description/>
  <cp:lastModifiedBy>Suvd Bold</cp:lastModifiedBy>
  <cp:revision>4</cp:revision>
  <dcterms:created xsi:type="dcterms:W3CDTF">2023-08-23T07:01:00Z</dcterms:created>
  <dcterms:modified xsi:type="dcterms:W3CDTF">2023-08-27T02:35:00Z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9d12b0f81c90a12b1a05ba8cb9dd320ac4743b214426d23c4b99581173ef50db</vt:lpwstr>
  </property>
</Properties>
</file>